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5B4A0A" w14:textId="77777777" w:rsidR="0087330E" w:rsidRDefault="0087330E" w:rsidP="0087330E">
      <w:pPr>
        <w:pStyle w:val="paragraph"/>
        <w:shd w:val="clear" w:color="auto" w:fill="FFFFFF"/>
        <w:spacing w:before="0" w:beforeAutospacing="0" w:after="0" w:afterAutospacing="0"/>
        <w:jc w:val="both"/>
        <w:textAlignment w:val="baseline"/>
        <w:rPr>
          <w:rStyle w:val="eop"/>
          <w:rFonts w:ascii="Calibri" w:hAnsi="Calibri" w:cs="Calibri"/>
          <w:color w:val="212121"/>
          <w:sz w:val="28"/>
          <w:szCs w:val="28"/>
        </w:rPr>
      </w:pPr>
      <w:r>
        <w:rPr>
          <w:rStyle w:val="normaltextrun"/>
          <w:rFonts w:ascii="Calibri" w:hAnsi="Calibri" w:cs="Calibri"/>
          <w:b/>
          <w:bCs/>
          <w:color w:val="212121"/>
          <w:sz w:val="28"/>
          <w:szCs w:val="28"/>
        </w:rPr>
        <w:t>PRESSEMITTEILUNG</w:t>
      </w:r>
      <w:r>
        <w:rPr>
          <w:rStyle w:val="eop"/>
          <w:rFonts w:ascii="Calibri" w:hAnsi="Calibri" w:cs="Calibri"/>
          <w:color w:val="212121"/>
          <w:sz w:val="28"/>
          <w:szCs w:val="28"/>
        </w:rPr>
        <w:t> </w:t>
      </w:r>
    </w:p>
    <w:p w14:paraId="6D3455C5" w14:textId="77777777" w:rsidR="006A55B8" w:rsidRDefault="006A55B8" w:rsidP="0087330E">
      <w:pPr>
        <w:pStyle w:val="paragraph"/>
        <w:shd w:val="clear" w:color="auto" w:fill="FFFFFF"/>
        <w:spacing w:before="0" w:beforeAutospacing="0" w:after="0" w:afterAutospacing="0"/>
        <w:jc w:val="both"/>
        <w:textAlignment w:val="baseline"/>
        <w:rPr>
          <w:rFonts w:ascii="Segoe UI" w:hAnsi="Segoe UI" w:cs="Segoe UI"/>
          <w:sz w:val="18"/>
          <w:szCs w:val="18"/>
        </w:rPr>
      </w:pPr>
    </w:p>
    <w:p w14:paraId="0BCB5564" w14:textId="77777777" w:rsidR="0087330E" w:rsidRDefault="00E129AF" w:rsidP="0087330E">
      <w:pPr>
        <w:pStyle w:val="paragraph"/>
        <w:spacing w:before="0" w:beforeAutospacing="0" w:after="0" w:afterAutospacing="0"/>
        <w:textAlignment w:val="baseline"/>
        <w:rPr>
          <w:rFonts w:ascii="Segoe UI" w:hAnsi="Segoe UI" w:cs="Segoe UI"/>
          <w:sz w:val="18"/>
          <w:szCs w:val="18"/>
        </w:rPr>
      </w:pPr>
      <w:r>
        <w:rPr>
          <w:noProof/>
          <w:lang w:eastAsia="de-DE"/>
        </w:rPr>
        <w:drawing>
          <wp:inline distT="0" distB="0" distL="0" distR="0" wp14:anchorId="4C688046" wp14:editId="600DD3AC">
            <wp:extent cx="5750492" cy="2134870"/>
            <wp:effectExtent l="0" t="0" r="3175" b="0"/>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7"/>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750492" cy="2134870"/>
                    </a:xfrm>
                    <a:prstGeom prst="rect">
                      <a:avLst/>
                    </a:prstGeom>
                  </pic:spPr>
                </pic:pic>
              </a:graphicData>
            </a:graphic>
          </wp:inline>
        </w:drawing>
      </w:r>
      <w:r w:rsidR="0087330E" w:rsidRPr="748412EE">
        <w:rPr>
          <w:rStyle w:val="eop"/>
          <w:rFonts w:ascii="Calibri" w:hAnsi="Calibri" w:cs="Calibri"/>
          <w:sz w:val="22"/>
          <w:szCs w:val="22"/>
        </w:rPr>
        <w:t> </w:t>
      </w:r>
    </w:p>
    <w:p w14:paraId="12978352" w14:textId="77777777" w:rsidR="00396323" w:rsidRDefault="00396323" w:rsidP="0087330E">
      <w:pPr>
        <w:pStyle w:val="paragraph"/>
        <w:spacing w:before="0" w:beforeAutospacing="0" w:after="0" w:afterAutospacing="0"/>
        <w:jc w:val="center"/>
        <w:textAlignment w:val="baseline"/>
        <w:rPr>
          <w:rStyle w:val="normaltextrun"/>
          <w:rFonts w:ascii="Calibri" w:hAnsi="Calibri" w:cs="Calibri"/>
          <w:b/>
          <w:bCs/>
          <w:color w:val="FF409B"/>
          <w:sz w:val="32"/>
          <w:szCs w:val="32"/>
        </w:rPr>
      </w:pPr>
    </w:p>
    <w:p w14:paraId="3C0186F2" w14:textId="62C1A29C" w:rsidR="002C7B89" w:rsidRDefault="00741A4B" w:rsidP="005F41F7">
      <w:pPr>
        <w:spacing w:line="276" w:lineRule="auto"/>
        <w:jc w:val="center"/>
        <w:rPr>
          <w:rStyle w:val="normaltextrun"/>
          <w:rFonts w:ascii="Calibri" w:eastAsia="Times New Roman" w:hAnsi="Calibri" w:cs="Calibri"/>
          <w:b/>
          <w:bCs/>
          <w:color w:val="FF409B"/>
          <w:sz w:val="32"/>
          <w:szCs w:val="32"/>
          <w:lang w:val="de-DE" w:eastAsia="zh-CN"/>
        </w:rPr>
      </w:pPr>
      <w:r w:rsidRPr="00741A4B">
        <w:rPr>
          <w:rStyle w:val="normaltextrun"/>
          <w:rFonts w:ascii="Calibri" w:eastAsia="Times New Roman" w:hAnsi="Calibri" w:cs="Calibri"/>
          <w:b/>
          <w:bCs/>
          <w:color w:val="FF409B"/>
          <w:sz w:val="32"/>
          <w:szCs w:val="32"/>
          <w:lang w:val="de-DE" w:eastAsia="zh-CN"/>
        </w:rPr>
        <w:t>Antalis übernimmt TTS und baut Marktführung in visueller Kommunikation aus</w:t>
      </w:r>
    </w:p>
    <w:p w14:paraId="39882E83" w14:textId="77777777" w:rsidR="00741A4B" w:rsidRDefault="00741A4B" w:rsidP="005F41F7">
      <w:pPr>
        <w:spacing w:line="276" w:lineRule="auto"/>
        <w:jc w:val="center"/>
        <w:rPr>
          <w:rFonts w:ascii="Calibri" w:eastAsia="Calibri" w:hAnsi="Calibri" w:cs="Arial"/>
          <w:bCs/>
          <w:color w:val="000000" w:themeColor="text1"/>
          <w:lang w:val="de-DE" w:eastAsia="fr-FR"/>
        </w:rPr>
      </w:pPr>
    </w:p>
    <w:p w14:paraId="70FCFA75" w14:textId="213984A3" w:rsidR="00F35438" w:rsidRPr="00EF7186" w:rsidRDefault="00A0007D" w:rsidP="00D95444">
      <w:pPr>
        <w:spacing w:line="276" w:lineRule="auto"/>
        <w:jc w:val="both"/>
        <w:rPr>
          <w:b/>
          <w:bCs/>
          <w:lang w:val="de-DE"/>
        </w:rPr>
      </w:pPr>
      <w:r w:rsidRPr="00EF7186">
        <w:rPr>
          <w:rFonts w:ascii="Calibri" w:eastAsia="Calibri" w:hAnsi="Calibri" w:cs="Arial"/>
          <w:b/>
          <w:bCs/>
          <w:color w:val="000000" w:themeColor="text1"/>
          <w:lang w:val="de-DE" w:eastAsia="fr-FR"/>
        </w:rPr>
        <w:t xml:space="preserve">Frechen </w:t>
      </w:r>
      <w:r w:rsidR="00AA69FC" w:rsidRPr="00EF7186">
        <w:rPr>
          <w:rFonts w:ascii="Calibri" w:eastAsia="Calibri" w:hAnsi="Calibri" w:cs="Arial"/>
          <w:b/>
          <w:bCs/>
          <w:color w:val="000000" w:themeColor="text1"/>
          <w:lang w:val="de-DE" w:eastAsia="fr-FR"/>
        </w:rPr>
        <w:t>–</w:t>
      </w:r>
      <w:r w:rsidRPr="00EF7186">
        <w:rPr>
          <w:rFonts w:ascii="Calibri" w:eastAsia="Calibri" w:hAnsi="Calibri" w:cs="Arial"/>
          <w:b/>
          <w:bCs/>
          <w:color w:val="000000" w:themeColor="text1"/>
          <w:lang w:val="de-DE" w:eastAsia="fr-FR"/>
        </w:rPr>
        <w:t xml:space="preserve"> </w:t>
      </w:r>
      <w:r w:rsidR="00741A4B">
        <w:rPr>
          <w:rFonts w:ascii="Calibri" w:eastAsia="Calibri" w:hAnsi="Calibri" w:cs="Arial"/>
          <w:b/>
          <w:bCs/>
          <w:color w:val="000000" w:themeColor="text1"/>
          <w:lang w:val="de-DE" w:eastAsia="fr-FR"/>
        </w:rPr>
        <w:t>04.11</w:t>
      </w:r>
      <w:r w:rsidR="006E7B20" w:rsidRPr="00EF7186">
        <w:rPr>
          <w:rFonts w:ascii="Calibri" w:eastAsia="Calibri" w:hAnsi="Calibri" w:cs="Arial"/>
          <w:b/>
          <w:bCs/>
          <w:color w:val="000000" w:themeColor="text1"/>
          <w:lang w:val="de-DE" w:eastAsia="fr-FR"/>
        </w:rPr>
        <w:t>.</w:t>
      </w:r>
      <w:r w:rsidR="00AA69FC" w:rsidRPr="00EF7186">
        <w:rPr>
          <w:rFonts w:ascii="Calibri" w:eastAsia="Calibri" w:hAnsi="Calibri" w:cs="Arial"/>
          <w:b/>
          <w:bCs/>
          <w:color w:val="000000" w:themeColor="text1"/>
          <w:lang w:val="de-DE" w:eastAsia="fr-FR"/>
        </w:rPr>
        <w:t>202</w:t>
      </w:r>
      <w:r w:rsidR="00B01A0C" w:rsidRPr="00EF7186">
        <w:rPr>
          <w:rFonts w:ascii="Calibri" w:eastAsia="Calibri" w:hAnsi="Calibri" w:cs="Arial"/>
          <w:b/>
          <w:bCs/>
          <w:color w:val="000000" w:themeColor="text1"/>
          <w:lang w:val="de-DE" w:eastAsia="fr-FR"/>
        </w:rPr>
        <w:t>5</w:t>
      </w:r>
      <w:r w:rsidR="00D95444" w:rsidRPr="00EF7186">
        <w:rPr>
          <w:rFonts w:ascii="Calibri" w:eastAsia="Calibri" w:hAnsi="Calibri" w:cs="Arial"/>
          <w:b/>
          <w:bCs/>
          <w:color w:val="000000" w:themeColor="text1"/>
          <w:lang w:val="de-DE" w:eastAsia="fr-FR"/>
        </w:rPr>
        <w:t xml:space="preserve"> </w:t>
      </w:r>
      <w:r w:rsidR="00741A4B" w:rsidRPr="00741A4B">
        <w:rPr>
          <w:b/>
          <w:bCs/>
          <w:lang w:val="de-DE"/>
        </w:rPr>
        <w:t xml:space="preserve">Antalis, ein weltweit führender Anbieter von Verpackungsmaterialien, visueller Kommunikation und Papierprodukten, Ausrüstung und Lösungen, baut seine Präsenz auf dem europäischen Markt mit der Übernahme von </w:t>
      </w:r>
      <w:proofErr w:type="spellStart"/>
      <w:r w:rsidR="00741A4B" w:rsidRPr="00741A4B">
        <w:rPr>
          <w:b/>
          <w:bCs/>
          <w:lang w:val="de-DE"/>
        </w:rPr>
        <w:t>Texo</w:t>
      </w:r>
      <w:proofErr w:type="spellEnd"/>
      <w:r w:rsidR="00741A4B" w:rsidRPr="00741A4B">
        <w:rPr>
          <w:b/>
          <w:bCs/>
          <w:lang w:val="de-DE"/>
        </w:rPr>
        <w:t xml:space="preserve"> Trade Services (TTS) weiter aus.</w:t>
      </w:r>
    </w:p>
    <w:p w14:paraId="76470E42" w14:textId="36A2356F" w:rsidR="00B7341A" w:rsidRDefault="00B7341A" w:rsidP="00AE5E5A">
      <w:pPr>
        <w:spacing w:before="100" w:beforeAutospacing="1" w:after="100" w:afterAutospacing="1" w:line="276" w:lineRule="auto"/>
        <w:rPr>
          <w:rFonts w:eastAsia="Times New Roman" w:cstheme="minorHAnsi"/>
          <w:lang w:val="de-DE" w:eastAsia="de-DE"/>
        </w:rPr>
      </w:pPr>
    </w:p>
    <w:p w14:paraId="66082B0E" w14:textId="312365A1" w:rsidR="00741A4B" w:rsidRPr="00741A4B" w:rsidRDefault="00741A4B" w:rsidP="00741A4B">
      <w:pPr>
        <w:pStyle w:val="paragraph"/>
        <w:textAlignment w:val="baseline"/>
        <w:rPr>
          <w:rFonts w:asciiTheme="minorHAnsi" w:hAnsiTheme="minorHAnsi" w:cstheme="minorHAnsi"/>
          <w:lang w:eastAsia="de-DE"/>
        </w:rPr>
      </w:pPr>
      <w:proofErr w:type="spellStart"/>
      <w:r w:rsidRPr="00741A4B">
        <w:rPr>
          <w:rFonts w:asciiTheme="minorHAnsi" w:hAnsiTheme="minorHAnsi" w:cstheme="minorHAnsi"/>
          <w:lang w:eastAsia="de-DE"/>
        </w:rPr>
        <w:t>Texto</w:t>
      </w:r>
      <w:proofErr w:type="spellEnd"/>
      <w:r w:rsidRPr="00741A4B">
        <w:rPr>
          <w:rFonts w:asciiTheme="minorHAnsi" w:hAnsiTheme="minorHAnsi" w:cstheme="minorHAnsi"/>
          <w:lang w:eastAsia="de-DE"/>
        </w:rPr>
        <w:t xml:space="preserve"> Trade Services (TTS) ist ein führender europäischer Distributor und Hersteller von bedruckbaren Textilien und Transferdruckmedien für den Textil- und Großformatdruck mit Sitz in den Niederlanden. </w:t>
      </w:r>
    </w:p>
    <w:p w14:paraId="645378FF" w14:textId="2ADB676A" w:rsidR="00741A4B" w:rsidRPr="00741A4B" w:rsidRDefault="00741A4B" w:rsidP="00741A4B">
      <w:pPr>
        <w:pStyle w:val="paragraph"/>
        <w:textAlignment w:val="baseline"/>
        <w:rPr>
          <w:rFonts w:asciiTheme="minorHAnsi" w:hAnsiTheme="minorHAnsi" w:cstheme="minorHAnsi"/>
          <w:lang w:eastAsia="de-DE"/>
        </w:rPr>
      </w:pPr>
      <w:r w:rsidRPr="00741A4B">
        <w:rPr>
          <w:rFonts w:asciiTheme="minorHAnsi" w:hAnsiTheme="minorHAnsi" w:cstheme="minorHAnsi"/>
          <w:lang w:eastAsia="de-DE"/>
        </w:rPr>
        <w:t>Diese strategische Entscheidung zeigt, dass Antalis seine Stellung im Bereich der visuellen Kommunikation – einem zentralen Wachstumstreiber des Unternehmens – weiter stärken will. Damit erweitert Antalis sein Angebot an bedruckbaren Textilien, ergänzt sein Portfolio um hochwertige Lösungen und bündelt seine Vertriebskraft in ganz Europa.</w:t>
      </w:r>
    </w:p>
    <w:p w14:paraId="7FD96EB8" w14:textId="3E1B1C8F" w:rsidR="00741A4B" w:rsidRPr="00741A4B" w:rsidRDefault="00741A4B" w:rsidP="00741A4B">
      <w:pPr>
        <w:pStyle w:val="paragraph"/>
        <w:textAlignment w:val="baseline"/>
        <w:rPr>
          <w:rFonts w:asciiTheme="minorHAnsi" w:hAnsiTheme="minorHAnsi" w:cstheme="minorHAnsi"/>
          <w:lang w:eastAsia="de-DE"/>
        </w:rPr>
      </w:pPr>
      <w:r w:rsidRPr="00741A4B">
        <w:rPr>
          <w:rFonts w:asciiTheme="minorHAnsi" w:hAnsiTheme="minorHAnsi" w:cstheme="minorHAnsi"/>
          <w:lang w:eastAsia="de-DE"/>
        </w:rPr>
        <w:t>Die Transaktion trägt auch dazu bei, die Nachhaltigkeitsverpflichtungen der Gruppe zu beschleunigen, indem sie eine Produktpalette integriert, die für ihre Innovation und ihre reduzierte Umweltbelastung bekannt ist.</w:t>
      </w:r>
    </w:p>
    <w:p w14:paraId="53798872" w14:textId="77777777" w:rsidR="00741A4B" w:rsidRPr="00741A4B" w:rsidRDefault="00741A4B" w:rsidP="00741A4B">
      <w:pPr>
        <w:pStyle w:val="paragraph"/>
        <w:textAlignment w:val="baseline"/>
        <w:rPr>
          <w:rFonts w:asciiTheme="minorHAnsi" w:hAnsiTheme="minorHAnsi" w:cstheme="minorHAnsi"/>
          <w:b/>
          <w:bCs/>
          <w:lang w:eastAsia="de-DE"/>
        </w:rPr>
      </w:pPr>
      <w:r w:rsidRPr="00741A4B">
        <w:rPr>
          <w:rFonts w:asciiTheme="minorHAnsi" w:hAnsiTheme="minorHAnsi" w:cstheme="minorHAnsi"/>
          <w:b/>
          <w:bCs/>
          <w:lang w:eastAsia="de-DE"/>
        </w:rPr>
        <w:t>TTS: ein wichtiger Akteur auf dem europäischen Textildruckmarkt</w:t>
      </w:r>
    </w:p>
    <w:p w14:paraId="2432940B" w14:textId="395C7403" w:rsidR="00741A4B" w:rsidRPr="00741A4B" w:rsidRDefault="00741A4B" w:rsidP="00741A4B">
      <w:pPr>
        <w:pStyle w:val="paragraph"/>
        <w:textAlignment w:val="baseline"/>
        <w:rPr>
          <w:rFonts w:asciiTheme="minorHAnsi" w:hAnsiTheme="minorHAnsi" w:cstheme="minorHAnsi"/>
          <w:lang w:eastAsia="de-DE"/>
        </w:rPr>
      </w:pPr>
      <w:proofErr w:type="spellStart"/>
      <w:r w:rsidRPr="00741A4B">
        <w:rPr>
          <w:rFonts w:asciiTheme="minorHAnsi" w:hAnsiTheme="minorHAnsi" w:cstheme="minorHAnsi"/>
          <w:lang w:eastAsia="de-DE"/>
        </w:rPr>
        <w:t>Texo</w:t>
      </w:r>
      <w:proofErr w:type="spellEnd"/>
      <w:r w:rsidRPr="00741A4B">
        <w:rPr>
          <w:rFonts w:asciiTheme="minorHAnsi" w:hAnsiTheme="minorHAnsi" w:cstheme="minorHAnsi"/>
          <w:lang w:eastAsia="de-DE"/>
        </w:rPr>
        <w:t xml:space="preserve"> Trade Services mit Sitz in </w:t>
      </w:r>
      <w:proofErr w:type="spellStart"/>
      <w:r w:rsidRPr="00741A4B">
        <w:rPr>
          <w:rFonts w:asciiTheme="minorHAnsi" w:hAnsiTheme="minorHAnsi" w:cstheme="minorHAnsi"/>
          <w:lang w:eastAsia="de-DE"/>
        </w:rPr>
        <w:t>Moordrecht</w:t>
      </w:r>
      <w:proofErr w:type="spellEnd"/>
      <w:r w:rsidRPr="00741A4B">
        <w:rPr>
          <w:rFonts w:asciiTheme="minorHAnsi" w:hAnsiTheme="minorHAnsi" w:cstheme="minorHAnsi"/>
          <w:lang w:eastAsia="de-DE"/>
        </w:rPr>
        <w:t xml:space="preserve"> in den Niederlanden und über 25 Jahren Erfahrung hat sich zu einem wichtigen Akteur auf dem europäischen Markt für visuelle Kommunikation und Bekleidungsdekoration entwickelt. Das Unternehmen beschäftigt 75 Mitarbeiter und erzielte 2024 einen Umsatz von 34 Millionen Euro. Es vertreibt seine </w:t>
      </w:r>
      <w:r w:rsidRPr="00741A4B">
        <w:rPr>
          <w:rFonts w:asciiTheme="minorHAnsi" w:hAnsiTheme="minorHAnsi" w:cstheme="minorHAnsi"/>
          <w:lang w:eastAsia="de-DE"/>
        </w:rPr>
        <w:lastRenderedPageBreak/>
        <w:t>Produkte in mehr als 70 Ländern, wobei die wichtigsten Märkte die Niederlande, Frankreich, Deutschland, Belgien und Polen sind.</w:t>
      </w:r>
    </w:p>
    <w:p w14:paraId="427C5A7D" w14:textId="05FF974F" w:rsidR="00741A4B" w:rsidRPr="00741A4B" w:rsidRDefault="00741A4B" w:rsidP="00741A4B">
      <w:pPr>
        <w:pStyle w:val="paragraph"/>
        <w:textAlignment w:val="baseline"/>
        <w:rPr>
          <w:rFonts w:asciiTheme="minorHAnsi" w:hAnsiTheme="minorHAnsi" w:cstheme="minorHAnsi"/>
          <w:lang w:eastAsia="de-DE"/>
        </w:rPr>
      </w:pPr>
      <w:r w:rsidRPr="00741A4B">
        <w:rPr>
          <w:rFonts w:asciiTheme="minorHAnsi" w:hAnsiTheme="minorHAnsi" w:cstheme="minorHAnsi"/>
          <w:lang w:eastAsia="de-DE"/>
        </w:rPr>
        <w:t xml:space="preserve">TTS ist bekannt für die Qualität seiner Produkte und die Zuverlässigkeit seiner Dienstleistungen und bietet eine breite Palette an bedruckbaren Textilien, Sublimations- und </w:t>
      </w:r>
      <w:proofErr w:type="spellStart"/>
      <w:r w:rsidRPr="00741A4B">
        <w:rPr>
          <w:rFonts w:asciiTheme="minorHAnsi" w:hAnsiTheme="minorHAnsi" w:cstheme="minorHAnsi"/>
          <w:lang w:eastAsia="de-DE"/>
        </w:rPr>
        <w:t>Kalandarschutzpapieren</w:t>
      </w:r>
      <w:proofErr w:type="spellEnd"/>
      <w:r w:rsidRPr="00741A4B">
        <w:rPr>
          <w:rFonts w:asciiTheme="minorHAnsi" w:hAnsiTheme="minorHAnsi" w:cstheme="minorHAnsi"/>
          <w:lang w:eastAsia="de-DE"/>
        </w:rPr>
        <w:t xml:space="preserve"> sowie eine große Auswahl an Transfermedien für die Textilveredelung unter seiner Eigenmarke „</w:t>
      </w:r>
      <w:proofErr w:type="spellStart"/>
      <w:r w:rsidRPr="00741A4B">
        <w:rPr>
          <w:rFonts w:asciiTheme="minorHAnsi" w:hAnsiTheme="minorHAnsi" w:cstheme="minorHAnsi"/>
          <w:lang w:eastAsia="de-DE"/>
        </w:rPr>
        <w:t>Texo</w:t>
      </w:r>
      <w:proofErr w:type="spellEnd"/>
      <w:r w:rsidRPr="00741A4B">
        <w:rPr>
          <w:rFonts w:asciiTheme="minorHAnsi" w:hAnsiTheme="minorHAnsi" w:cstheme="minorHAnsi"/>
          <w:lang w:eastAsia="de-DE"/>
        </w:rPr>
        <w:t>“, ergänzt durch Produkte führender europäischer Hersteller.</w:t>
      </w:r>
    </w:p>
    <w:p w14:paraId="4BA00C7E" w14:textId="12EA42B5" w:rsidR="00741A4B" w:rsidRPr="00741A4B" w:rsidRDefault="00741A4B" w:rsidP="00741A4B">
      <w:pPr>
        <w:pStyle w:val="paragraph"/>
        <w:textAlignment w:val="baseline"/>
        <w:rPr>
          <w:rFonts w:asciiTheme="minorHAnsi" w:hAnsiTheme="minorHAnsi" w:cstheme="minorHAnsi"/>
          <w:lang w:eastAsia="de-DE"/>
        </w:rPr>
      </w:pPr>
      <w:r w:rsidRPr="00741A4B">
        <w:rPr>
          <w:rFonts w:asciiTheme="minorHAnsi" w:hAnsiTheme="minorHAnsi" w:cstheme="minorHAnsi"/>
          <w:lang w:eastAsia="de-DE"/>
        </w:rPr>
        <w:t xml:space="preserve">Dank seines integrierten Geschäftsmodells ist TTS ein echter </w:t>
      </w:r>
      <w:proofErr w:type="spellStart"/>
      <w:r w:rsidRPr="00741A4B">
        <w:rPr>
          <w:rFonts w:asciiTheme="minorHAnsi" w:hAnsiTheme="minorHAnsi" w:cstheme="minorHAnsi"/>
          <w:lang w:eastAsia="de-DE"/>
        </w:rPr>
        <w:t>One</w:t>
      </w:r>
      <w:proofErr w:type="spellEnd"/>
      <w:r w:rsidRPr="00741A4B">
        <w:rPr>
          <w:rFonts w:asciiTheme="minorHAnsi" w:hAnsiTheme="minorHAnsi" w:cstheme="minorHAnsi"/>
          <w:lang w:eastAsia="de-DE"/>
        </w:rPr>
        <w:t>-</w:t>
      </w:r>
      <w:proofErr w:type="spellStart"/>
      <w:r w:rsidRPr="00741A4B">
        <w:rPr>
          <w:rFonts w:asciiTheme="minorHAnsi" w:hAnsiTheme="minorHAnsi" w:cstheme="minorHAnsi"/>
          <w:lang w:eastAsia="de-DE"/>
        </w:rPr>
        <w:t>Stop</w:t>
      </w:r>
      <w:proofErr w:type="spellEnd"/>
      <w:r w:rsidRPr="00741A4B">
        <w:rPr>
          <w:rFonts w:asciiTheme="minorHAnsi" w:hAnsiTheme="minorHAnsi" w:cstheme="minorHAnsi"/>
          <w:lang w:eastAsia="de-DE"/>
        </w:rPr>
        <w:t>-Shop für Großformatdrucker und Spezialisten für den digitalen Textildruck und die Textilveredelung. Als Pionier beim Übergang zu nachhaltigen Lösungen arbeitet das Unternehmen von einem energieneutralen Hauptsitz (A+++ Rating) aus und hat innovative Produktreihen wie „Green“ aus recyceltem Polyester und „Solar“, eine 100 % PVC-freie Kollektion, die sowohl für Innen- als auch für Außenanwendungen geeignet ist, entwickelt.</w:t>
      </w:r>
    </w:p>
    <w:p w14:paraId="620161D6" w14:textId="02B5C8F0" w:rsidR="00741A4B" w:rsidRPr="00741A4B" w:rsidRDefault="00741A4B" w:rsidP="00741A4B">
      <w:pPr>
        <w:pStyle w:val="paragraph"/>
        <w:textAlignment w:val="baseline"/>
        <w:rPr>
          <w:rFonts w:asciiTheme="minorHAnsi" w:hAnsiTheme="minorHAnsi" w:cstheme="minorHAnsi"/>
          <w:lang w:eastAsia="de-DE"/>
        </w:rPr>
      </w:pPr>
      <w:r w:rsidRPr="00741A4B">
        <w:rPr>
          <w:rFonts w:asciiTheme="minorHAnsi" w:hAnsiTheme="minorHAnsi" w:cstheme="minorHAnsi"/>
          <w:lang w:eastAsia="de-DE"/>
        </w:rPr>
        <w:t>Mit seinem nachhaltigen Ansatz und seiner technischen Kompetenz setzt TTS Maßstäbe als Partner für die nächste Generation umweltbewusster Textilanwendungen.</w:t>
      </w:r>
    </w:p>
    <w:p w14:paraId="6A134307" w14:textId="77777777" w:rsidR="00741A4B" w:rsidRPr="00741A4B" w:rsidRDefault="00741A4B" w:rsidP="00741A4B">
      <w:pPr>
        <w:pStyle w:val="paragraph"/>
        <w:textAlignment w:val="baseline"/>
        <w:rPr>
          <w:rFonts w:asciiTheme="minorHAnsi" w:hAnsiTheme="minorHAnsi" w:cstheme="minorHAnsi"/>
          <w:b/>
          <w:bCs/>
          <w:lang w:eastAsia="de-DE"/>
        </w:rPr>
      </w:pPr>
      <w:r w:rsidRPr="00741A4B">
        <w:rPr>
          <w:rFonts w:asciiTheme="minorHAnsi" w:hAnsiTheme="minorHAnsi" w:cstheme="minorHAnsi"/>
          <w:b/>
          <w:bCs/>
          <w:lang w:eastAsia="de-DE"/>
        </w:rPr>
        <w:t>Eine Akquisition, die Synergien und neue Wachstumschancen schafft</w:t>
      </w:r>
    </w:p>
    <w:p w14:paraId="03186E45" w14:textId="454A1516" w:rsidR="00741A4B" w:rsidRPr="00741A4B" w:rsidRDefault="00741A4B" w:rsidP="00741A4B">
      <w:pPr>
        <w:pStyle w:val="paragraph"/>
        <w:textAlignment w:val="baseline"/>
        <w:rPr>
          <w:rFonts w:asciiTheme="minorHAnsi" w:hAnsiTheme="minorHAnsi" w:cstheme="minorHAnsi"/>
          <w:lang w:eastAsia="de-DE"/>
        </w:rPr>
      </w:pPr>
      <w:r w:rsidRPr="00741A4B">
        <w:rPr>
          <w:rFonts w:asciiTheme="minorHAnsi" w:hAnsiTheme="minorHAnsi" w:cstheme="minorHAnsi"/>
          <w:lang w:eastAsia="de-DE"/>
        </w:rPr>
        <w:t xml:space="preserve">Mit dieser Übernahme stärkt Antalis seine Präsenz auf dem europäischen Markt für visuelle Kommunikation, die bereits durch die kürzlich erfolgte Integration von </w:t>
      </w:r>
      <w:proofErr w:type="spellStart"/>
      <w:r w:rsidRPr="00741A4B">
        <w:rPr>
          <w:rFonts w:asciiTheme="minorHAnsi" w:hAnsiTheme="minorHAnsi" w:cstheme="minorHAnsi"/>
          <w:lang w:eastAsia="de-DE"/>
        </w:rPr>
        <w:t>Integart</w:t>
      </w:r>
      <w:proofErr w:type="spellEnd"/>
      <w:r w:rsidRPr="00741A4B">
        <w:rPr>
          <w:rFonts w:asciiTheme="minorHAnsi" w:hAnsiTheme="minorHAnsi" w:cstheme="minorHAnsi"/>
          <w:lang w:eastAsia="de-DE"/>
        </w:rPr>
        <w:t xml:space="preserve"> in Polen, Club </w:t>
      </w:r>
      <w:proofErr w:type="spellStart"/>
      <w:r w:rsidRPr="00741A4B">
        <w:rPr>
          <w:rFonts w:asciiTheme="minorHAnsi" w:hAnsiTheme="minorHAnsi" w:cstheme="minorHAnsi"/>
          <w:lang w:eastAsia="de-DE"/>
        </w:rPr>
        <w:t>Groupe</w:t>
      </w:r>
      <w:proofErr w:type="spellEnd"/>
      <w:r w:rsidRPr="00741A4B">
        <w:rPr>
          <w:rFonts w:asciiTheme="minorHAnsi" w:hAnsiTheme="minorHAnsi" w:cstheme="minorHAnsi"/>
          <w:lang w:eastAsia="de-DE"/>
        </w:rPr>
        <w:t xml:space="preserve"> und </w:t>
      </w:r>
      <w:proofErr w:type="spellStart"/>
      <w:r w:rsidRPr="00741A4B">
        <w:rPr>
          <w:rFonts w:asciiTheme="minorHAnsi" w:hAnsiTheme="minorHAnsi" w:cstheme="minorHAnsi"/>
          <w:lang w:eastAsia="de-DE"/>
        </w:rPr>
        <w:t>Poitoo</w:t>
      </w:r>
      <w:proofErr w:type="spellEnd"/>
      <w:r w:rsidRPr="00741A4B">
        <w:rPr>
          <w:rFonts w:asciiTheme="minorHAnsi" w:hAnsiTheme="minorHAnsi" w:cstheme="minorHAnsi"/>
          <w:lang w:eastAsia="de-DE"/>
        </w:rPr>
        <w:t xml:space="preserve"> </w:t>
      </w:r>
      <w:proofErr w:type="spellStart"/>
      <w:r w:rsidRPr="00741A4B">
        <w:rPr>
          <w:rFonts w:asciiTheme="minorHAnsi" w:hAnsiTheme="minorHAnsi" w:cstheme="minorHAnsi"/>
          <w:lang w:eastAsia="de-DE"/>
        </w:rPr>
        <w:t>Adhésifs</w:t>
      </w:r>
      <w:proofErr w:type="spellEnd"/>
      <w:r w:rsidRPr="00741A4B">
        <w:rPr>
          <w:rFonts w:asciiTheme="minorHAnsi" w:hAnsiTheme="minorHAnsi" w:cstheme="minorHAnsi"/>
          <w:lang w:eastAsia="de-DE"/>
        </w:rPr>
        <w:t xml:space="preserve"> in Frankreich sowie Fortuna in der Adria konsolidiert wurde.</w:t>
      </w:r>
    </w:p>
    <w:p w14:paraId="683B1C57" w14:textId="792A9BA0" w:rsidR="00741A4B" w:rsidRPr="00741A4B" w:rsidRDefault="00741A4B" w:rsidP="00741A4B">
      <w:pPr>
        <w:pStyle w:val="paragraph"/>
        <w:textAlignment w:val="baseline"/>
        <w:rPr>
          <w:rFonts w:asciiTheme="minorHAnsi" w:hAnsiTheme="minorHAnsi" w:cstheme="minorHAnsi"/>
          <w:lang w:eastAsia="de-DE"/>
        </w:rPr>
      </w:pPr>
      <w:r w:rsidRPr="00741A4B">
        <w:rPr>
          <w:rFonts w:asciiTheme="minorHAnsi" w:hAnsiTheme="minorHAnsi" w:cstheme="minorHAnsi"/>
          <w:lang w:eastAsia="de-DE"/>
        </w:rPr>
        <w:t>Durch die Übernahme von TTS kann die Gruppe ihr Textilangebot erweitern, ihr technisches und logistisches Know-how bündeln und ihren Kunden ein noch breiteres Lösungsportfolio in den Bereichen Beschilderung, Einzelhandel und Dekoration anbieten.</w:t>
      </w:r>
    </w:p>
    <w:p w14:paraId="2BBC1E06" w14:textId="587105F5" w:rsidR="00741A4B" w:rsidRPr="00741A4B" w:rsidRDefault="00741A4B" w:rsidP="00741A4B">
      <w:pPr>
        <w:pStyle w:val="paragraph"/>
        <w:textAlignment w:val="baseline"/>
        <w:rPr>
          <w:rFonts w:asciiTheme="minorHAnsi" w:hAnsiTheme="minorHAnsi" w:cstheme="minorHAnsi"/>
          <w:lang w:eastAsia="de-DE"/>
        </w:rPr>
      </w:pPr>
      <w:r w:rsidRPr="00741A4B">
        <w:rPr>
          <w:rFonts w:asciiTheme="minorHAnsi" w:hAnsiTheme="minorHAnsi" w:cstheme="minorHAnsi"/>
          <w:lang w:eastAsia="de-DE"/>
        </w:rPr>
        <w:t>Diese Transaktion ist auch ein wichtiger Meilenstein in der Innovations- und Nachhaltigkeitsstrategie von Antalis.  Durch die Integration der recycelten und PVC-freien Produktpaletten von TTS stärkt die Gruppe ihre Position als verantwortungsbewusster Akteur, der einen nachhaltigeren Ansatz in der visuellen Kommunikation vorantreibt.</w:t>
      </w:r>
    </w:p>
    <w:p w14:paraId="128B94D5" w14:textId="55B694A3" w:rsidR="00741A4B" w:rsidRPr="00741A4B" w:rsidRDefault="00741A4B" w:rsidP="00741A4B">
      <w:pPr>
        <w:pStyle w:val="paragraph"/>
        <w:textAlignment w:val="baseline"/>
        <w:rPr>
          <w:rFonts w:asciiTheme="minorHAnsi" w:hAnsiTheme="minorHAnsi" w:cstheme="minorHAnsi"/>
          <w:lang w:eastAsia="de-DE"/>
        </w:rPr>
      </w:pPr>
      <w:r w:rsidRPr="00741A4B">
        <w:rPr>
          <w:rFonts w:asciiTheme="minorHAnsi" w:hAnsiTheme="minorHAnsi" w:cstheme="minorHAnsi"/>
          <w:lang w:eastAsia="de-DE"/>
        </w:rPr>
        <w:t xml:space="preserve">„Wir freuen uns sehr, die Teams von </w:t>
      </w:r>
      <w:proofErr w:type="spellStart"/>
      <w:r w:rsidRPr="00741A4B">
        <w:rPr>
          <w:rFonts w:asciiTheme="minorHAnsi" w:hAnsiTheme="minorHAnsi" w:cstheme="minorHAnsi"/>
          <w:lang w:eastAsia="de-DE"/>
        </w:rPr>
        <w:t>Texo</w:t>
      </w:r>
      <w:proofErr w:type="spellEnd"/>
      <w:r w:rsidRPr="00741A4B">
        <w:rPr>
          <w:rFonts w:asciiTheme="minorHAnsi" w:hAnsiTheme="minorHAnsi" w:cstheme="minorHAnsi"/>
          <w:lang w:eastAsia="de-DE"/>
        </w:rPr>
        <w:t xml:space="preserve"> Trade Services in der Antalis-Gruppe willkommen zu heißen“, sagte Hervé </w:t>
      </w:r>
      <w:proofErr w:type="spellStart"/>
      <w:r w:rsidRPr="00741A4B">
        <w:rPr>
          <w:rFonts w:asciiTheme="minorHAnsi" w:hAnsiTheme="minorHAnsi" w:cstheme="minorHAnsi"/>
          <w:lang w:eastAsia="de-DE"/>
        </w:rPr>
        <w:t>Poncin</w:t>
      </w:r>
      <w:proofErr w:type="spellEnd"/>
      <w:r w:rsidRPr="00741A4B">
        <w:rPr>
          <w:rFonts w:asciiTheme="minorHAnsi" w:hAnsiTheme="minorHAnsi" w:cstheme="minorHAnsi"/>
          <w:lang w:eastAsia="de-DE"/>
        </w:rPr>
        <w:t>, Chief Executive Officer der Antalis-Gruppe. „Ihre anerkannte Expertise im Bereich bedruckbarer Textilien und ihr starkes Engagement für Nachhaltigkeit ergänzen unser Angebot im Bereich Visuelle Kommunikation perfekt. Diese Übernahme stärkt unsere Position als führender europäischer Partner für Fachleute in den Bereichen Großformatdruck, Einzelhandel und Dekoration und verbessert gleichzeitig unsere Präsenz auf den Benelux-Märkten.“</w:t>
      </w:r>
    </w:p>
    <w:p w14:paraId="69BB75C9" w14:textId="02FE728E" w:rsidR="00741A4B" w:rsidRDefault="00741A4B" w:rsidP="00741A4B">
      <w:pPr>
        <w:pStyle w:val="paragraph"/>
        <w:textAlignment w:val="baseline"/>
        <w:rPr>
          <w:rFonts w:asciiTheme="minorHAnsi" w:hAnsiTheme="minorHAnsi" w:cstheme="minorHAnsi"/>
          <w:lang w:eastAsia="de-DE"/>
        </w:rPr>
      </w:pPr>
      <w:r w:rsidRPr="00741A4B">
        <w:rPr>
          <w:rFonts w:asciiTheme="minorHAnsi" w:hAnsiTheme="minorHAnsi" w:cstheme="minorHAnsi"/>
          <w:lang w:eastAsia="de-DE"/>
        </w:rPr>
        <w:t xml:space="preserve">Floris Jan van den Heuvel, CEO und Eigentümer von </w:t>
      </w:r>
      <w:proofErr w:type="spellStart"/>
      <w:r w:rsidRPr="00741A4B">
        <w:rPr>
          <w:rFonts w:asciiTheme="minorHAnsi" w:hAnsiTheme="minorHAnsi" w:cstheme="minorHAnsi"/>
          <w:lang w:eastAsia="de-DE"/>
        </w:rPr>
        <w:t>Texo</w:t>
      </w:r>
      <w:proofErr w:type="spellEnd"/>
      <w:r w:rsidRPr="00741A4B">
        <w:rPr>
          <w:rFonts w:asciiTheme="minorHAnsi" w:hAnsiTheme="minorHAnsi" w:cstheme="minorHAnsi"/>
          <w:lang w:eastAsia="de-DE"/>
        </w:rPr>
        <w:t xml:space="preserve"> Trade Services, fügte hinzu: „Der Beitritt zu Antalis ist ein wichtiger Meilenstein in der Entwicklung von TTS. Mit der Stärke des Netzwerks und den Synergien von Antalis werden wir unser internationales Wachstum beschleunigen und weiterhin innovativ sein können, um unseren Kunden immer nachhaltigere und leistungsfähigere Lösungen anzubieten.“</w:t>
      </w:r>
    </w:p>
    <w:p w14:paraId="767D704C" w14:textId="77777777" w:rsidR="00741A4B" w:rsidRPr="00741A4B" w:rsidRDefault="00741A4B" w:rsidP="00741A4B">
      <w:pPr>
        <w:pStyle w:val="paragraph"/>
        <w:textAlignment w:val="baseline"/>
        <w:rPr>
          <w:rFonts w:asciiTheme="minorHAnsi" w:hAnsiTheme="minorHAnsi" w:cstheme="minorHAnsi"/>
          <w:lang w:eastAsia="de-DE"/>
        </w:rPr>
      </w:pPr>
    </w:p>
    <w:p w14:paraId="10B94C9F" w14:textId="09E3374D" w:rsidR="00741A4B" w:rsidRPr="00741A4B" w:rsidRDefault="00741A4B" w:rsidP="00741A4B">
      <w:pPr>
        <w:pStyle w:val="paragraph"/>
        <w:spacing w:before="0" w:beforeAutospacing="0" w:after="0" w:afterAutospacing="0"/>
        <w:textAlignment w:val="baseline"/>
        <w:rPr>
          <w:rFonts w:asciiTheme="minorHAnsi" w:hAnsiTheme="minorHAnsi" w:cstheme="minorHAnsi"/>
          <w:b/>
          <w:bCs/>
          <w:lang w:eastAsia="de-DE"/>
        </w:rPr>
      </w:pPr>
      <w:r w:rsidRPr="00741A4B">
        <w:rPr>
          <w:rFonts w:asciiTheme="minorHAnsi" w:hAnsiTheme="minorHAnsi" w:cstheme="minorHAnsi"/>
          <w:b/>
          <w:bCs/>
          <w:lang w:eastAsia="de-DE"/>
        </w:rPr>
        <w:t xml:space="preserve">Ihre Ansprechpartnerin für weitere Informationen:   </w:t>
      </w:r>
    </w:p>
    <w:p w14:paraId="2FBD2569" w14:textId="77777777" w:rsidR="00741A4B" w:rsidRPr="00741A4B" w:rsidRDefault="00741A4B" w:rsidP="00741A4B">
      <w:pPr>
        <w:pStyle w:val="paragraph"/>
        <w:spacing w:before="0" w:beforeAutospacing="0" w:after="0" w:afterAutospacing="0"/>
        <w:textAlignment w:val="baseline"/>
        <w:rPr>
          <w:rFonts w:asciiTheme="minorHAnsi" w:hAnsiTheme="minorHAnsi" w:cstheme="minorHAnsi"/>
          <w:lang w:val="en-GB" w:eastAsia="de-DE"/>
        </w:rPr>
      </w:pPr>
      <w:r w:rsidRPr="00741A4B">
        <w:rPr>
          <w:rFonts w:asciiTheme="minorHAnsi" w:hAnsiTheme="minorHAnsi" w:cstheme="minorHAnsi"/>
          <w:lang w:val="en-GB" w:eastAsia="de-DE"/>
        </w:rPr>
        <w:t>Mariya Gress</w:t>
      </w:r>
    </w:p>
    <w:p w14:paraId="6DD63F98" w14:textId="77777777" w:rsidR="00741A4B" w:rsidRPr="00741A4B" w:rsidRDefault="00741A4B" w:rsidP="00741A4B">
      <w:pPr>
        <w:pStyle w:val="paragraph"/>
        <w:spacing w:before="0" w:beforeAutospacing="0" w:after="0" w:afterAutospacing="0"/>
        <w:textAlignment w:val="baseline"/>
        <w:rPr>
          <w:rFonts w:asciiTheme="minorHAnsi" w:hAnsiTheme="minorHAnsi" w:cstheme="minorHAnsi"/>
          <w:lang w:eastAsia="de-DE"/>
        </w:rPr>
      </w:pPr>
      <w:r w:rsidRPr="00741A4B">
        <w:rPr>
          <w:rFonts w:asciiTheme="minorHAnsi" w:hAnsiTheme="minorHAnsi" w:cstheme="minorHAnsi"/>
          <w:lang w:eastAsia="de-DE"/>
        </w:rPr>
        <w:t xml:space="preserve">Tel.: (02234) 20 55 – 396        </w:t>
      </w:r>
    </w:p>
    <w:p w14:paraId="0DD9116B" w14:textId="601D5BA3" w:rsidR="00130CF1" w:rsidRPr="00741A4B" w:rsidRDefault="00741A4B" w:rsidP="00741A4B">
      <w:pPr>
        <w:pStyle w:val="paragraph"/>
        <w:spacing w:before="0" w:beforeAutospacing="0" w:after="0" w:afterAutospacing="0"/>
        <w:textAlignment w:val="baseline"/>
        <w:rPr>
          <w:rFonts w:asciiTheme="minorHAnsi" w:hAnsiTheme="minorHAnsi" w:cstheme="minorHAnsi"/>
          <w:lang w:eastAsia="de-DE"/>
        </w:rPr>
      </w:pPr>
      <w:r w:rsidRPr="00741A4B">
        <w:rPr>
          <w:rFonts w:asciiTheme="minorHAnsi" w:hAnsiTheme="minorHAnsi" w:cstheme="minorHAnsi"/>
          <w:lang w:eastAsia="de-DE"/>
        </w:rPr>
        <w:t>E-Mail: mariya.gress@antalis.com </w:t>
      </w:r>
    </w:p>
    <w:p w14:paraId="6151602B" w14:textId="77777777" w:rsidR="00741A4B" w:rsidRPr="00741A4B" w:rsidRDefault="00741A4B" w:rsidP="00741A4B">
      <w:pPr>
        <w:pStyle w:val="paragraph"/>
        <w:spacing w:before="0" w:beforeAutospacing="0" w:after="0" w:afterAutospacing="0"/>
        <w:textAlignment w:val="baseline"/>
        <w:rPr>
          <w:rFonts w:asciiTheme="minorHAnsi" w:hAnsiTheme="minorHAnsi" w:cstheme="minorHAnsi"/>
          <w:sz w:val="18"/>
          <w:szCs w:val="18"/>
        </w:rPr>
      </w:pPr>
    </w:p>
    <w:p w14:paraId="5B7E0179" w14:textId="77777777" w:rsidR="001D727B" w:rsidRPr="00741A4B" w:rsidRDefault="001D727B" w:rsidP="00974902">
      <w:pPr>
        <w:pStyle w:val="paragraph"/>
        <w:spacing w:before="0" w:beforeAutospacing="0" w:after="0" w:afterAutospacing="0"/>
        <w:textAlignment w:val="baseline"/>
        <w:rPr>
          <w:rStyle w:val="normaltextrun"/>
          <w:rFonts w:asciiTheme="minorHAnsi" w:hAnsiTheme="minorHAnsi" w:cstheme="minorHAnsi"/>
          <w:sz w:val="22"/>
          <w:szCs w:val="22"/>
        </w:rPr>
      </w:pPr>
    </w:p>
    <w:p w14:paraId="0C0B635D" w14:textId="77777777" w:rsidR="00BC7C04" w:rsidRPr="00EF7186" w:rsidRDefault="00BC7C04" w:rsidP="00BC7C04">
      <w:pPr>
        <w:spacing w:line="288" w:lineRule="auto"/>
        <w:textAlignment w:val="baseline"/>
        <w:rPr>
          <w:rFonts w:asciiTheme="majorHAnsi" w:hAnsiTheme="majorHAnsi" w:cs="Times New Roman"/>
          <w:color w:val="000000"/>
          <w:lang w:val="de-DE"/>
        </w:rPr>
      </w:pPr>
      <w:r w:rsidRPr="00EF7186">
        <w:rPr>
          <w:rFonts w:asciiTheme="majorHAnsi" w:hAnsiTheme="majorHAnsi" w:cs="Times New Roman"/>
          <w:b/>
          <w:bCs/>
          <w:color w:val="000000"/>
          <w:lang w:val="de-DE"/>
        </w:rPr>
        <w:t>Hintergrund zu Antalis und zur Antalis GmbH</w:t>
      </w:r>
      <w:r w:rsidRPr="00EF7186">
        <w:rPr>
          <w:rFonts w:asciiTheme="majorHAnsi" w:hAnsiTheme="majorHAnsi" w:cs="Times New Roman"/>
          <w:color w:val="000000"/>
          <w:lang w:val="de-DE"/>
        </w:rPr>
        <w:t>  </w:t>
      </w:r>
    </w:p>
    <w:p w14:paraId="2BEFA98C" w14:textId="77777777" w:rsidR="002F1136" w:rsidRPr="00EF7186" w:rsidRDefault="002F1136" w:rsidP="002F1136">
      <w:pPr>
        <w:spacing w:before="100" w:beforeAutospacing="1" w:after="100" w:afterAutospacing="1" w:line="288" w:lineRule="auto"/>
        <w:textAlignment w:val="baseline"/>
        <w:rPr>
          <w:rFonts w:ascii="Calibri Light" w:hAnsi="Calibri Light" w:cs="Calibri Light"/>
          <w:color w:val="000000"/>
          <w:sz w:val="18"/>
          <w:szCs w:val="18"/>
          <w:lang w:val="de-DE"/>
        </w:rPr>
      </w:pPr>
      <w:r w:rsidRPr="00EF7186">
        <w:rPr>
          <w:rFonts w:ascii="Calibri Light" w:hAnsi="Calibri Light" w:cs="Calibri Light"/>
          <w:color w:val="000000"/>
          <w:sz w:val="18"/>
          <w:szCs w:val="18"/>
          <w:lang w:val="de-DE"/>
        </w:rPr>
        <w:t xml:space="preserve">Antalis gehört zur </w:t>
      </w:r>
      <w:proofErr w:type="spellStart"/>
      <w:r w:rsidRPr="00EF7186">
        <w:rPr>
          <w:rFonts w:ascii="Calibri Light" w:hAnsi="Calibri Light" w:cs="Calibri Light"/>
          <w:color w:val="000000"/>
          <w:sz w:val="18"/>
          <w:szCs w:val="18"/>
          <w:lang w:val="de-DE"/>
        </w:rPr>
        <w:t>Kokusai</w:t>
      </w:r>
      <w:proofErr w:type="spellEnd"/>
      <w:r w:rsidRPr="00EF7186">
        <w:rPr>
          <w:rFonts w:ascii="Calibri Light" w:hAnsi="Calibri Light" w:cs="Calibri Light"/>
          <w:color w:val="000000"/>
          <w:sz w:val="18"/>
          <w:szCs w:val="18"/>
          <w:lang w:val="de-DE"/>
        </w:rPr>
        <w:t xml:space="preserve"> Pulp &amp; Paper Group, einem weltweit führenden Distributor für Papier, Verpackung und visuelle Kommunikation mit Sitz in Japan. Die Gruppe wird an der Tokioter Börse notiert (ISIN JP3293350009) und erzielte im Geschäftsjahr 1. April 2023 bis 31. März 2024 einen Umsatz von 4,2 Milliarden Euro. In Europa, Kanada und Lateinamerika ist Antalis der führende B2B-Distributor von Produkten und Dienstleistungen in den Bereichen Papier und Industrieverpackungen und die Nummer zwei im Vertrieb von Medien der visuellen Kommunikation. Mit Hauptsitz in Paris (Frankreich) ist Antalis in 32 Ländern aktiv und bedient mit einem Team von 4.200 Mitarbeitern und innovativen E-Commerce-Lösungen über 100.000 Kunden. Antalis hat 105 Distributionszentren, die sich auf ökologische Verantwortung konzentrieren und einen erstklassigen Service bieten.  </w:t>
      </w:r>
    </w:p>
    <w:p w14:paraId="244833A2" w14:textId="19573063" w:rsidR="004457D3" w:rsidRPr="00EF7186" w:rsidRDefault="002F1136" w:rsidP="002F1136">
      <w:pPr>
        <w:spacing w:line="288" w:lineRule="auto"/>
        <w:textAlignment w:val="baseline"/>
        <w:rPr>
          <w:rFonts w:ascii="Calibri Light" w:hAnsi="Calibri Light" w:cs="Calibri Light"/>
          <w:color w:val="000000"/>
          <w:sz w:val="18"/>
          <w:szCs w:val="18"/>
          <w:lang w:val="de-DE"/>
        </w:rPr>
      </w:pPr>
      <w:r w:rsidRPr="00EF7186">
        <w:rPr>
          <w:rFonts w:ascii="Calibri Light" w:hAnsi="Calibri Light" w:cs="Calibri Light"/>
          <w:color w:val="000000"/>
          <w:sz w:val="18"/>
          <w:szCs w:val="18"/>
          <w:lang w:val="de-DE"/>
        </w:rPr>
        <w:t>Die deutsche Tochter Antalis GmbH beschäftigt bundesweit 210 Mitarbeiter. Täglich liefert Antalis rund 1.500 Aufträge aus. Die rund 10.000 Qualitätsartikel der Geschäftsbereiche Papier (grafische Papiere und Büropapiere), Verpackungen, Hygiene und visuelle Kommunikation mit Hardware werden bundesweit über 6 Antalis-Standorte vertrieben. D</w:t>
      </w:r>
      <w:r w:rsidR="00E06C4F" w:rsidRPr="00EF7186">
        <w:rPr>
          <w:rFonts w:ascii="Calibri Light" w:hAnsi="Calibri Light" w:cs="Calibri Light"/>
          <w:color w:val="000000"/>
          <w:sz w:val="18"/>
          <w:szCs w:val="18"/>
          <w:lang w:val="de-DE"/>
        </w:rPr>
        <w:t xml:space="preserve">er </w:t>
      </w:r>
      <w:r w:rsidRPr="00EF7186">
        <w:rPr>
          <w:rFonts w:ascii="Calibri Light" w:hAnsi="Calibri Light" w:cs="Calibri Light"/>
          <w:color w:val="000000"/>
          <w:sz w:val="18"/>
          <w:szCs w:val="18"/>
          <w:lang w:val="de-DE"/>
        </w:rPr>
        <w:t>Bereich Industrial Packaging </w:t>
      </w:r>
      <w:r w:rsidR="00E06C4F" w:rsidRPr="00EF7186">
        <w:rPr>
          <w:rFonts w:ascii="Calibri Light" w:hAnsi="Calibri Light" w:cs="Calibri Light"/>
          <w:color w:val="000000"/>
          <w:sz w:val="18"/>
          <w:szCs w:val="18"/>
          <w:lang w:val="de-DE"/>
        </w:rPr>
        <w:t>wird unter der gleichen Geschäftsleitung</w:t>
      </w:r>
      <w:r w:rsidRPr="00EF7186">
        <w:rPr>
          <w:rFonts w:ascii="Calibri Light" w:hAnsi="Calibri Light" w:cs="Calibri Light"/>
          <w:color w:val="000000"/>
          <w:sz w:val="18"/>
          <w:szCs w:val="18"/>
          <w:lang w:val="de-DE"/>
        </w:rPr>
        <w:t xml:space="preserve"> </w:t>
      </w:r>
      <w:r w:rsidR="00662760">
        <w:rPr>
          <w:rFonts w:ascii="Calibri Light" w:hAnsi="Calibri Light" w:cs="Calibri Light"/>
          <w:color w:val="000000"/>
          <w:sz w:val="18"/>
          <w:szCs w:val="18"/>
          <w:lang w:val="de-DE"/>
        </w:rPr>
        <w:t>v</w:t>
      </w:r>
      <w:r w:rsidR="00E06C4F" w:rsidRPr="00EF7186">
        <w:rPr>
          <w:rFonts w:ascii="Calibri Light" w:hAnsi="Calibri Light" w:cs="Calibri Light"/>
          <w:color w:val="000000"/>
          <w:sz w:val="18"/>
          <w:szCs w:val="18"/>
          <w:lang w:val="de-DE"/>
        </w:rPr>
        <w:t xml:space="preserve">on </w:t>
      </w:r>
      <w:r w:rsidRPr="00EF7186">
        <w:rPr>
          <w:rFonts w:ascii="Calibri Light" w:hAnsi="Calibri Light" w:cs="Calibri Light"/>
          <w:color w:val="000000"/>
          <w:sz w:val="18"/>
          <w:szCs w:val="18"/>
          <w:lang w:val="de-DE"/>
        </w:rPr>
        <w:t xml:space="preserve">Antalis Verpackungen GmbH und BB Pack Gruppe </w:t>
      </w:r>
      <w:r w:rsidR="00E06C4F" w:rsidRPr="00EF7186">
        <w:rPr>
          <w:rFonts w:ascii="Calibri Light" w:hAnsi="Calibri Light" w:cs="Calibri Light"/>
          <w:color w:val="000000"/>
          <w:sz w:val="18"/>
          <w:szCs w:val="18"/>
          <w:lang w:val="de-DE"/>
        </w:rPr>
        <w:t>betreut</w:t>
      </w:r>
      <w:r w:rsidRPr="00EF7186">
        <w:rPr>
          <w:rFonts w:ascii="Calibri Light" w:hAnsi="Calibri Light" w:cs="Calibri Light"/>
          <w:color w:val="000000"/>
          <w:sz w:val="18"/>
          <w:szCs w:val="18"/>
          <w:lang w:val="de-DE"/>
        </w:rPr>
        <w:t>.</w:t>
      </w:r>
    </w:p>
    <w:p w14:paraId="00F1842E" w14:textId="77777777" w:rsidR="001D727B" w:rsidRPr="00EF7186" w:rsidRDefault="001D727B" w:rsidP="002F1136">
      <w:pPr>
        <w:spacing w:line="288" w:lineRule="auto"/>
        <w:textAlignment w:val="baseline"/>
        <w:rPr>
          <w:rFonts w:asciiTheme="majorHAnsi" w:hAnsiTheme="majorHAnsi" w:cs="Times New Roman"/>
          <w:color w:val="000000"/>
          <w:sz w:val="18"/>
          <w:lang w:val="de-DE"/>
        </w:rPr>
      </w:pPr>
    </w:p>
    <w:sectPr w:rsidR="001D727B" w:rsidRPr="00EF7186" w:rsidSect="00B96157">
      <w:headerReference w:type="default" r:id="rId12"/>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08FBF7" w14:textId="77777777" w:rsidR="00544719" w:rsidRDefault="00544719" w:rsidP="00190357">
      <w:r>
        <w:separator/>
      </w:r>
    </w:p>
  </w:endnote>
  <w:endnote w:type="continuationSeparator" w:id="0">
    <w:p w14:paraId="1DC63616" w14:textId="77777777" w:rsidR="00544719" w:rsidRDefault="00544719" w:rsidP="00190357">
      <w:r>
        <w:continuationSeparator/>
      </w:r>
    </w:p>
  </w:endnote>
  <w:endnote w:type="continuationNotice" w:id="1">
    <w:p w14:paraId="50EAAEE5" w14:textId="77777777" w:rsidR="00544719" w:rsidRDefault="005447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abon MT">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D4134C" w14:textId="77777777" w:rsidR="00544719" w:rsidRDefault="00544719" w:rsidP="00190357">
      <w:r>
        <w:separator/>
      </w:r>
    </w:p>
  </w:footnote>
  <w:footnote w:type="continuationSeparator" w:id="0">
    <w:p w14:paraId="0A98408C" w14:textId="77777777" w:rsidR="00544719" w:rsidRDefault="00544719" w:rsidP="00190357">
      <w:r>
        <w:continuationSeparator/>
      </w:r>
    </w:p>
  </w:footnote>
  <w:footnote w:type="continuationNotice" w:id="1">
    <w:p w14:paraId="704FFB43" w14:textId="77777777" w:rsidR="00544719" w:rsidRDefault="0054471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CBC7B" w14:textId="77777777" w:rsidR="00190357" w:rsidRDefault="00190357" w:rsidP="00190357">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5B0CFC"/>
    <w:multiLevelType w:val="hybridMultilevel"/>
    <w:tmpl w:val="39C6C070"/>
    <w:lvl w:ilvl="0" w:tplc="F2C8648E">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53A942C8"/>
    <w:multiLevelType w:val="hybridMultilevel"/>
    <w:tmpl w:val="9522E0F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29DC"/>
    <w:rsid w:val="00004F87"/>
    <w:rsid w:val="00007AF2"/>
    <w:rsid w:val="00010F50"/>
    <w:rsid w:val="00014A89"/>
    <w:rsid w:val="00031E18"/>
    <w:rsid w:val="00045049"/>
    <w:rsid w:val="0004791B"/>
    <w:rsid w:val="00047CE6"/>
    <w:rsid w:val="000513FA"/>
    <w:rsid w:val="00054F08"/>
    <w:rsid w:val="00055C69"/>
    <w:rsid w:val="000745AA"/>
    <w:rsid w:val="00075A06"/>
    <w:rsid w:val="00080834"/>
    <w:rsid w:val="00092483"/>
    <w:rsid w:val="000935ED"/>
    <w:rsid w:val="000A4138"/>
    <w:rsid w:val="000B3615"/>
    <w:rsid w:val="000C03F4"/>
    <w:rsid w:val="000C49B9"/>
    <w:rsid w:val="000C729E"/>
    <w:rsid w:val="000D08ED"/>
    <w:rsid w:val="000F47FC"/>
    <w:rsid w:val="000F5E23"/>
    <w:rsid w:val="000F5E38"/>
    <w:rsid w:val="000F7892"/>
    <w:rsid w:val="001104A9"/>
    <w:rsid w:val="00112E86"/>
    <w:rsid w:val="00124715"/>
    <w:rsid w:val="00126BDF"/>
    <w:rsid w:val="00130CF1"/>
    <w:rsid w:val="00130DA7"/>
    <w:rsid w:val="00137880"/>
    <w:rsid w:val="001448F3"/>
    <w:rsid w:val="0015403B"/>
    <w:rsid w:val="00165EAB"/>
    <w:rsid w:val="00183320"/>
    <w:rsid w:val="0018507E"/>
    <w:rsid w:val="00185721"/>
    <w:rsid w:val="00190357"/>
    <w:rsid w:val="001B774B"/>
    <w:rsid w:val="001C1D91"/>
    <w:rsid w:val="001C29FD"/>
    <w:rsid w:val="001C52FA"/>
    <w:rsid w:val="001D2622"/>
    <w:rsid w:val="001D727B"/>
    <w:rsid w:val="001E04A6"/>
    <w:rsid w:val="001E6DD7"/>
    <w:rsid w:val="001E7EA9"/>
    <w:rsid w:val="001F4CB3"/>
    <w:rsid w:val="001F53E3"/>
    <w:rsid w:val="00206574"/>
    <w:rsid w:val="00217439"/>
    <w:rsid w:val="00217494"/>
    <w:rsid w:val="00230A19"/>
    <w:rsid w:val="002343E1"/>
    <w:rsid w:val="00235F0B"/>
    <w:rsid w:val="00254314"/>
    <w:rsid w:val="00260803"/>
    <w:rsid w:val="00286C1E"/>
    <w:rsid w:val="002920CA"/>
    <w:rsid w:val="002A0265"/>
    <w:rsid w:val="002B778B"/>
    <w:rsid w:val="002C32A1"/>
    <w:rsid w:val="002C7B89"/>
    <w:rsid w:val="002F1136"/>
    <w:rsid w:val="00304D60"/>
    <w:rsid w:val="00311353"/>
    <w:rsid w:val="003122C1"/>
    <w:rsid w:val="003135C5"/>
    <w:rsid w:val="00326D89"/>
    <w:rsid w:val="00334694"/>
    <w:rsid w:val="00336E1A"/>
    <w:rsid w:val="003407E3"/>
    <w:rsid w:val="00352502"/>
    <w:rsid w:val="00352A94"/>
    <w:rsid w:val="00352ABB"/>
    <w:rsid w:val="0035407C"/>
    <w:rsid w:val="00387F71"/>
    <w:rsid w:val="0039401E"/>
    <w:rsid w:val="00396323"/>
    <w:rsid w:val="003A0718"/>
    <w:rsid w:val="003A073F"/>
    <w:rsid w:val="003A193D"/>
    <w:rsid w:val="003A2EAD"/>
    <w:rsid w:val="003A41F2"/>
    <w:rsid w:val="003A65E0"/>
    <w:rsid w:val="003B1583"/>
    <w:rsid w:val="003B16D1"/>
    <w:rsid w:val="003B4090"/>
    <w:rsid w:val="003D555D"/>
    <w:rsid w:val="003E22BA"/>
    <w:rsid w:val="003F0C46"/>
    <w:rsid w:val="0040663A"/>
    <w:rsid w:val="00410AC5"/>
    <w:rsid w:val="00410D47"/>
    <w:rsid w:val="00412721"/>
    <w:rsid w:val="004161DA"/>
    <w:rsid w:val="0041690C"/>
    <w:rsid w:val="0044570B"/>
    <w:rsid w:val="004457D3"/>
    <w:rsid w:val="00446481"/>
    <w:rsid w:val="00452701"/>
    <w:rsid w:val="00457203"/>
    <w:rsid w:val="00457E03"/>
    <w:rsid w:val="00463E03"/>
    <w:rsid w:val="0047179C"/>
    <w:rsid w:val="00475D06"/>
    <w:rsid w:val="0049387A"/>
    <w:rsid w:val="004B34F5"/>
    <w:rsid w:val="004B361B"/>
    <w:rsid w:val="004B4570"/>
    <w:rsid w:val="004B554C"/>
    <w:rsid w:val="004C7294"/>
    <w:rsid w:val="004D0522"/>
    <w:rsid w:val="004E6F9E"/>
    <w:rsid w:val="004F7C5D"/>
    <w:rsid w:val="00516F60"/>
    <w:rsid w:val="00533F8A"/>
    <w:rsid w:val="00534575"/>
    <w:rsid w:val="00536408"/>
    <w:rsid w:val="005378D5"/>
    <w:rsid w:val="00541395"/>
    <w:rsid w:val="00544719"/>
    <w:rsid w:val="0055609A"/>
    <w:rsid w:val="0055795C"/>
    <w:rsid w:val="00564D52"/>
    <w:rsid w:val="005654E6"/>
    <w:rsid w:val="00576C97"/>
    <w:rsid w:val="00586CAB"/>
    <w:rsid w:val="00592172"/>
    <w:rsid w:val="005B51FB"/>
    <w:rsid w:val="005C04A1"/>
    <w:rsid w:val="005C183D"/>
    <w:rsid w:val="005C2FD2"/>
    <w:rsid w:val="005C76DE"/>
    <w:rsid w:val="005E457E"/>
    <w:rsid w:val="005E5B92"/>
    <w:rsid w:val="005E7973"/>
    <w:rsid w:val="005F41F7"/>
    <w:rsid w:val="005F5568"/>
    <w:rsid w:val="005F7D41"/>
    <w:rsid w:val="006018D9"/>
    <w:rsid w:val="006103DF"/>
    <w:rsid w:val="00610BBC"/>
    <w:rsid w:val="00615097"/>
    <w:rsid w:val="00615ED1"/>
    <w:rsid w:val="006168E1"/>
    <w:rsid w:val="006205FC"/>
    <w:rsid w:val="00621177"/>
    <w:rsid w:val="0063133F"/>
    <w:rsid w:val="006337BF"/>
    <w:rsid w:val="00643B96"/>
    <w:rsid w:val="00644437"/>
    <w:rsid w:val="00662760"/>
    <w:rsid w:val="00684797"/>
    <w:rsid w:val="00696499"/>
    <w:rsid w:val="006A16AF"/>
    <w:rsid w:val="006A420A"/>
    <w:rsid w:val="006A55B8"/>
    <w:rsid w:val="006A6C92"/>
    <w:rsid w:val="006B1E9E"/>
    <w:rsid w:val="006B5061"/>
    <w:rsid w:val="006C504F"/>
    <w:rsid w:val="006E6D0C"/>
    <w:rsid w:val="006E7B20"/>
    <w:rsid w:val="007018DA"/>
    <w:rsid w:val="0071064B"/>
    <w:rsid w:val="0071126C"/>
    <w:rsid w:val="00712481"/>
    <w:rsid w:val="00717BC5"/>
    <w:rsid w:val="00725707"/>
    <w:rsid w:val="007401CB"/>
    <w:rsid w:val="00741112"/>
    <w:rsid w:val="00741A4B"/>
    <w:rsid w:val="00751612"/>
    <w:rsid w:val="00752176"/>
    <w:rsid w:val="00755E82"/>
    <w:rsid w:val="0076157A"/>
    <w:rsid w:val="007678B8"/>
    <w:rsid w:val="00776EE6"/>
    <w:rsid w:val="00794C6D"/>
    <w:rsid w:val="007B3A32"/>
    <w:rsid w:val="007D18F4"/>
    <w:rsid w:val="007D200D"/>
    <w:rsid w:val="007D5F4A"/>
    <w:rsid w:val="007F036C"/>
    <w:rsid w:val="0080403B"/>
    <w:rsid w:val="00823236"/>
    <w:rsid w:val="00824815"/>
    <w:rsid w:val="008308C1"/>
    <w:rsid w:val="0083504C"/>
    <w:rsid w:val="0083715E"/>
    <w:rsid w:val="00841B11"/>
    <w:rsid w:val="00851B8C"/>
    <w:rsid w:val="00852930"/>
    <w:rsid w:val="0085753E"/>
    <w:rsid w:val="00861C63"/>
    <w:rsid w:val="00862403"/>
    <w:rsid w:val="0087330E"/>
    <w:rsid w:val="00885643"/>
    <w:rsid w:val="008A638C"/>
    <w:rsid w:val="008A7B3E"/>
    <w:rsid w:val="008C21B3"/>
    <w:rsid w:val="008C6B1E"/>
    <w:rsid w:val="008D0F93"/>
    <w:rsid w:val="008D1C36"/>
    <w:rsid w:val="008D582C"/>
    <w:rsid w:val="008D5CE3"/>
    <w:rsid w:val="008E53A4"/>
    <w:rsid w:val="00914A1A"/>
    <w:rsid w:val="009167F3"/>
    <w:rsid w:val="009233B0"/>
    <w:rsid w:val="00940792"/>
    <w:rsid w:val="00946734"/>
    <w:rsid w:val="009570E2"/>
    <w:rsid w:val="0096174D"/>
    <w:rsid w:val="009617F8"/>
    <w:rsid w:val="00970289"/>
    <w:rsid w:val="00971CE7"/>
    <w:rsid w:val="009727A2"/>
    <w:rsid w:val="00974902"/>
    <w:rsid w:val="00980FE1"/>
    <w:rsid w:val="0098413B"/>
    <w:rsid w:val="009945D5"/>
    <w:rsid w:val="00994AFA"/>
    <w:rsid w:val="009A7BAC"/>
    <w:rsid w:val="009B3E53"/>
    <w:rsid w:val="009C3015"/>
    <w:rsid w:val="009C7AC0"/>
    <w:rsid w:val="009D138C"/>
    <w:rsid w:val="009D56F2"/>
    <w:rsid w:val="00A0007D"/>
    <w:rsid w:val="00A06E17"/>
    <w:rsid w:val="00A0722C"/>
    <w:rsid w:val="00A168C4"/>
    <w:rsid w:val="00A24BC7"/>
    <w:rsid w:val="00A25827"/>
    <w:rsid w:val="00A25999"/>
    <w:rsid w:val="00A3576F"/>
    <w:rsid w:val="00A35A4B"/>
    <w:rsid w:val="00A35B68"/>
    <w:rsid w:val="00A401EE"/>
    <w:rsid w:val="00A4130F"/>
    <w:rsid w:val="00A42724"/>
    <w:rsid w:val="00A42D82"/>
    <w:rsid w:val="00A469CA"/>
    <w:rsid w:val="00A5100F"/>
    <w:rsid w:val="00A6133F"/>
    <w:rsid w:val="00A6267E"/>
    <w:rsid w:val="00A8596B"/>
    <w:rsid w:val="00A92246"/>
    <w:rsid w:val="00AA69FC"/>
    <w:rsid w:val="00AD524B"/>
    <w:rsid w:val="00AE38D5"/>
    <w:rsid w:val="00AE5E5A"/>
    <w:rsid w:val="00AE7869"/>
    <w:rsid w:val="00AF6444"/>
    <w:rsid w:val="00AF75A2"/>
    <w:rsid w:val="00B01A0C"/>
    <w:rsid w:val="00B31E2B"/>
    <w:rsid w:val="00B44D3D"/>
    <w:rsid w:val="00B47FB2"/>
    <w:rsid w:val="00B52815"/>
    <w:rsid w:val="00B60C41"/>
    <w:rsid w:val="00B6706F"/>
    <w:rsid w:val="00B6728D"/>
    <w:rsid w:val="00B7341A"/>
    <w:rsid w:val="00B7559B"/>
    <w:rsid w:val="00B80188"/>
    <w:rsid w:val="00B96157"/>
    <w:rsid w:val="00BA4C67"/>
    <w:rsid w:val="00BA7763"/>
    <w:rsid w:val="00BB0855"/>
    <w:rsid w:val="00BB1D7A"/>
    <w:rsid w:val="00BB41E2"/>
    <w:rsid w:val="00BB4AA0"/>
    <w:rsid w:val="00BC131D"/>
    <w:rsid w:val="00BC5E46"/>
    <w:rsid w:val="00BC6857"/>
    <w:rsid w:val="00BC7C04"/>
    <w:rsid w:val="00BD2A27"/>
    <w:rsid w:val="00BF5BB2"/>
    <w:rsid w:val="00BF66A8"/>
    <w:rsid w:val="00C02D10"/>
    <w:rsid w:val="00C274C0"/>
    <w:rsid w:val="00C35D25"/>
    <w:rsid w:val="00C5066A"/>
    <w:rsid w:val="00C52B56"/>
    <w:rsid w:val="00C61ABA"/>
    <w:rsid w:val="00C64874"/>
    <w:rsid w:val="00C741DC"/>
    <w:rsid w:val="00C74D76"/>
    <w:rsid w:val="00C76BA0"/>
    <w:rsid w:val="00C84EAB"/>
    <w:rsid w:val="00C86364"/>
    <w:rsid w:val="00C915F5"/>
    <w:rsid w:val="00CA045C"/>
    <w:rsid w:val="00CB1FB0"/>
    <w:rsid w:val="00CB66D2"/>
    <w:rsid w:val="00CB6FF2"/>
    <w:rsid w:val="00CC522C"/>
    <w:rsid w:val="00CC7D9A"/>
    <w:rsid w:val="00CF35AA"/>
    <w:rsid w:val="00CF3CF7"/>
    <w:rsid w:val="00D05043"/>
    <w:rsid w:val="00D10301"/>
    <w:rsid w:val="00D27C47"/>
    <w:rsid w:val="00D31030"/>
    <w:rsid w:val="00D542AA"/>
    <w:rsid w:val="00D5699D"/>
    <w:rsid w:val="00D60128"/>
    <w:rsid w:val="00D64D9C"/>
    <w:rsid w:val="00D709A6"/>
    <w:rsid w:val="00D71A10"/>
    <w:rsid w:val="00D76118"/>
    <w:rsid w:val="00D7664C"/>
    <w:rsid w:val="00D826B7"/>
    <w:rsid w:val="00D9075D"/>
    <w:rsid w:val="00D92A91"/>
    <w:rsid w:val="00D92F1A"/>
    <w:rsid w:val="00D95444"/>
    <w:rsid w:val="00D95BEA"/>
    <w:rsid w:val="00DB69E9"/>
    <w:rsid w:val="00DC1BF3"/>
    <w:rsid w:val="00DD4664"/>
    <w:rsid w:val="00DE1111"/>
    <w:rsid w:val="00DE1BC9"/>
    <w:rsid w:val="00DE313F"/>
    <w:rsid w:val="00DE426D"/>
    <w:rsid w:val="00DE5DB1"/>
    <w:rsid w:val="00DF4469"/>
    <w:rsid w:val="00DF57D6"/>
    <w:rsid w:val="00DF66EC"/>
    <w:rsid w:val="00E0262F"/>
    <w:rsid w:val="00E06C4F"/>
    <w:rsid w:val="00E129AF"/>
    <w:rsid w:val="00E168B4"/>
    <w:rsid w:val="00E23AE3"/>
    <w:rsid w:val="00E23DEA"/>
    <w:rsid w:val="00E36BEE"/>
    <w:rsid w:val="00E4560D"/>
    <w:rsid w:val="00E53D84"/>
    <w:rsid w:val="00E54ABD"/>
    <w:rsid w:val="00E84946"/>
    <w:rsid w:val="00EA15CF"/>
    <w:rsid w:val="00EA4B81"/>
    <w:rsid w:val="00EA5378"/>
    <w:rsid w:val="00EB0374"/>
    <w:rsid w:val="00EB29DC"/>
    <w:rsid w:val="00EB4B4E"/>
    <w:rsid w:val="00EB786C"/>
    <w:rsid w:val="00EC296C"/>
    <w:rsid w:val="00ED2351"/>
    <w:rsid w:val="00EE7761"/>
    <w:rsid w:val="00EF4458"/>
    <w:rsid w:val="00EF7186"/>
    <w:rsid w:val="00F05389"/>
    <w:rsid w:val="00F107F8"/>
    <w:rsid w:val="00F15624"/>
    <w:rsid w:val="00F2000F"/>
    <w:rsid w:val="00F27C8A"/>
    <w:rsid w:val="00F30C36"/>
    <w:rsid w:val="00F35438"/>
    <w:rsid w:val="00F46204"/>
    <w:rsid w:val="00F508E9"/>
    <w:rsid w:val="00F51B6C"/>
    <w:rsid w:val="00F75C16"/>
    <w:rsid w:val="00F83035"/>
    <w:rsid w:val="00FA2697"/>
    <w:rsid w:val="00FC30F0"/>
    <w:rsid w:val="00FC4B2D"/>
    <w:rsid w:val="00FD7534"/>
    <w:rsid w:val="00FE15F5"/>
    <w:rsid w:val="00FE3B3C"/>
    <w:rsid w:val="00FF4727"/>
    <w:rsid w:val="00FF7EA0"/>
    <w:rsid w:val="3540FD14"/>
    <w:rsid w:val="5B6AD2CC"/>
    <w:rsid w:val="748412EE"/>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837B53"/>
  <w15:chartTrackingRefBased/>
  <w15:docId w15:val="{46EE92D8-E514-4E41-94CC-9F822E2BD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pple-converted-space">
    <w:name w:val="apple-converted-space"/>
    <w:basedOn w:val="Absatz-Standardschriftart"/>
    <w:rsid w:val="00EB29DC"/>
  </w:style>
  <w:style w:type="character" w:styleId="Hyperlink">
    <w:name w:val="Hyperlink"/>
    <w:basedOn w:val="Absatz-Standardschriftart"/>
    <w:uiPriority w:val="99"/>
    <w:unhideWhenUsed/>
    <w:rsid w:val="000F5E38"/>
  </w:style>
  <w:style w:type="character" w:styleId="Funotenzeichen">
    <w:name w:val="footnote reference"/>
    <w:basedOn w:val="Absatz-Standardschriftart"/>
    <w:uiPriority w:val="99"/>
    <w:semiHidden/>
    <w:unhideWhenUsed/>
    <w:rsid w:val="00075A06"/>
  </w:style>
  <w:style w:type="paragraph" w:styleId="Sprechblasentext">
    <w:name w:val="Balloon Text"/>
    <w:basedOn w:val="Standard"/>
    <w:link w:val="SprechblasentextZchn"/>
    <w:uiPriority w:val="99"/>
    <w:semiHidden/>
    <w:unhideWhenUsed/>
    <w:rsid w:val="00CC7D9A"/>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CC7D9A"/>
    <w:rPr>
      <w:rFonts w:ascii="Segoe UI" w:hAnsi="Segoe UI" w:cs="Segoe UI"/>
      <w:sz w:val="18"/>
      <w:szCs w:val="18"/>
    </w:rPr>
  </w:style>
  <w:style w:type="character" w:customStyle="1" w:styleId="Mentionnonrsolue1">
    <w:name w:val="Mention non résolue1"/>
    <w:basedOn w:val="Absatz-Standardschriftart"/>
    <w:uiPriority w:val="99"/>
    <w:semiHidden/>
    <w:unhideWhenUsed/>
    <w:rsid w:val="00CF3CF7"/>
    <w:rPr>
      <w:color w:val="605E5C"/>
      <w:shd w:val="clear" w:color="auto" w:fill="E1DFDD"/>
    </w:rPr>
  </w:style>
  <w:style w:type="character" w:styleId="Kommentarzeichen">
    <w:name w:val="annotation reference"/>
    <w:basedOn w:val="Absatz-Standardschriftart"/>
    <w:uiPriority w:val="99"/>
    <w:semiHidden/>
    <w:unhideWhenUsed/>
    <w:rsid w:val="00852930"/>
    <w:rPr>
      <w:sz w:val="16"/>
      <w:szCs w:val="16"/>
    </w:rPr>
  </w:style>
  <w:style w:type="paragraph" w:styleId="Kommentartext">
    <w:name w:val="annotation text"/>
    <w:basedOn w:val="Standard"/>
    <w:link w:val="KommentartextZchn"/>
    <w:uiPriority w:val="99"/>
    <w:semiHidden/>
    <w:unhideWhenUsed/>
    <w:rsid w:val="00852930"/>
    <w:rPr>
      <w:sz w:val="20"/>
      <w:szCs w:val="20"/>
    </w:rPr>
  </w:style>
  <w:style w:type="character" w:customStyle="1" w:styleId="KommentartextZchn">
    <w:name w:val="Kommentartext Zchn"/>
    <w:basedOn w:val="Absatz-Standardschriftart"/>
    <w:link w:val="Kommentartext"/>
    <w:uiPriority w:val="99"/>
    <w:semiHidden/>
    <w:rsid w:val="00852930"/>
    <w:rPr>
      <w:sz w:val="20"/>
      <w:szCs w:val="20"/>
    </w:rPr>
  </w:style>
  <w:style w:type="paragraph" w:styleId="Kommentarthema">
    <w:name w:val="annotation subject"/>
    <w:basedOn w:val="Kommentartext"/>
    <w:next w:val="Kommentartext"/>
    <w:link w:val="KommentarthemaZchn"/>
    <w:uiPriority w:val="99"/>
    <w:semiHidden/>
    <w:unhideWhenUsed/>
    <w:rsid w:val="00852930"/>
    <w:rPr>
      <w:b/>
      <w:bCs/>
    </w:rPr>
  </w:style>
  <w:style w:type="character" w:customStyle="1" w:styleId="KommentarthemaZchn">
    <w:name w:val="Kommentarthema Zchn"/>
    <w:basedOn w:val="KommentartextZchn"/>
    <w:link w:val="Kommentarthema"/>
    <w:uiPriority w:val="99"/>
    <w:semiHidden/>
    <w:rsid w:val="00852930"/>
    <w:rPr>
      <w:b/>
      <w:bCs/>
      <w:sz w:val="20"/>
      <w:szCs w:val="20"/>
    </w:rPr>
  </w:style>
  <w:style w:type="paragraph" w:styleId="Listenabsatz">
    <w:name w:val="List Paragraph"/>
    <w:basedOn w:val="Standard"/>
    <w:uiPriority w:val="34"/>
    <w:qFormat/>
    <w:rsid w:val="00126BDF"/>
    <w:pPr>
      <w:ind w:left="720"/>
      <w:contextualSpacing/>
    </w:pPr>
  </w:style>
  <w:style w:type="paragraph" w:styleId="Kopfzeile">
    <w:name w:val="header"/>
    <w:basedOn w:val="Standard"/>
    <w:link w:val="KopfzeileZchn"/>
    <w:uiPriority w:val="99"/>
    <w:unhideWhenUsed/>
    <w:rsid w:val="00190357"/>
    <w:pPr>
      <w:tabs>
        <w:tab w:val="center" w:pos="4536"/>
        <w:tab w:val="right" w:pos="9072"/>
      </w:tabs>
    </w:pPr>
  </w:style>
  <w:style w:type="character" w:customStyle="1" w:styleId="KopfzeileZchn">
    <w:name w:val="Kopfzeile Zchn"/>
    <w:basedOn w:val="Absatz-Standardschriftart"/>
    <w:link w:val="Kopfzeile"/>
    <w:uiPriority w:val="99"/>
    <w:rsid w:val="00190357"/>
  </w:style>
  <w:style w:type="paragraph" w:styleId="Fuzeile">
    <w:name w:val="footer"/>
    <w:basedOn w:val="Standard"/>
    <w:link w:val="FuzeileZchn"/>
    <w:uiPriority w:val="99"/>
    <w:unhideWhenUsed/>
    <w:rsid w:val="00190357"/>
    <w:pPr>
      <w:tabs>
        <w:tab w:val="center" w:pos="4536"/>
        <w:tab w:val="right" w:pos="9072"/>
      </w:tabs>
    </w:pPr>
  </w:style>
  <w:style w:type="character" w:customStyle="1" w:styleId="FuzeileZchn">
    <w:name w:val="Fußzeile Zchn"/>
    <w:basedOn w:val="Absatz-Standardschriftart"/>
    <w:link w:val="Fuzeile"/>
    <w:uiPriority w:val="99"/>
    <w:rsid w:val="00190357"/>
  </w:style>
  <w:style w:type="character" w:styleId="BesuchterLink">
    <w:name w:val="FollowedHyperlink"/>
    <w:basedOn w:val="Absatz-Standardschriftart"/>
    <w:uiPriority w:val="99"/>
    <w:semiHidden/>
    <w:unhideWhenUsed/>
    <w:rsid w:val="00457E03"/>
    <w:rPr>
      <w:color w:val="954F72" w:themeColor="followedHyperlink"/>
      <w:u w:val="single"/>
    </w:rPr>
  </w:style>
  <w:style w:type="character" w:customStyle="1" w:styleId="Mentionnonrsolue2">
    <w:name w:val="Mention non résolue2"/>
    <w:basedOn w:val="Absatz-Standardschriftart"/>
    <w:uiPriority w:val="99"/>
    <w:semiHidden/>
    <w:unhideWhenUsed/>
    <w:rsid w:val="00326D89"/>
    <w:rPr>
      <w:color w:val="605E5C"/>
      <w:shd w:val="clear" w:color="auto" w:fill="E1DFDD"/>
    </w:rPr>
  </w:style>
  <w:style w:type="character" w:customStyle="1" w:styleId="NichtaufgelsteErwhnung1">
    <w:name w:val="Nicht aufgelöste Erwähnung1"/>
    <w:basedOn w:val="Absatz-Standardschriftart"/>
    <w:uiPriority w:val="99"/>
    <w:semiHidden/>
    <w:unhideWhenUsed/>
    <w:rsid w:val="00A8596B"/>
    <w:rPr>
      <w:color w:val="605E5C"/>
      <w:shd w:val="clear" w:color="auto" w:fill="E1DFDD"/>
    </w:rPr>
  </w:style>
  <w:style w:type="paragraph" w:customStyle="1" w:styleId="paragraph">
    <w:name w:val="paragraph"/>
    <w:basedOn w:val="Standard"/>
    <w:rsid w:val="0087330E"/>
    <w:pPr>
      <w:spacing w:before="100" w:beforeAutospacing="1" w:after="100" w:afterAutospacing="1"/>
    </w:pPr>
    <w:rPr>
      <w:rFonts w:ascii="Times New Roman" w:eastAsia="Times New Roman" w:hAnsi="Times New Roman" w:cs="Times New Roman"/>
      <w:lang w:val="de-DE" w:eastAsia="zh-CN"/>
    </w:rPr>
  </w:style>
  <w:style w:type="character" w:customStyle="1" w:styleId="normaltextrun">
    <w:name w:val="normaltextrun"/>
    <w:basedOn w:val="Absatz-Standardschriftart"/>
    <w:rsid w:val="0087330E"/>
  </w:style>
  <w:style w:type="character" w:customStyle="1" w:styleId="eop">
    <w:name w:val="eop"/>
    <w:basedOn w:val="Absatz-Standardschriftart"/>
    <w:rsid w:val="0087330E"/>
  </w:style>
  <w:style w:type="character" w:customStyle="1" w:styleId="NichtaufgelsteErwhnung2">
    <w:name w:val="Nicht aufgelöste Erwähnung2"/>
    <w:basedOn w:val="Absatz-Standardschriftart"/>
    <w:uiPriority w:val="99"/>
    <w:semiHidden/>
    <w:unhideWhenUsed/>
    <w:rsid w:val="0015403B"/>
    <w:rPr>
      <w:color w:val="605E5C"/>
      <w:shd w:val="clear" w:color="auto" w:fill="E1DFDD"/>
    </w:rPr>
  </w:style>
  <w:style w:type="paragraph" w:customStyle="1" w:styleId="second">
    <w:name w:val="second"/>
    <w:rsid w:val="00EA15CF"/>
    <w:pPr>
      <w:spacing w:line="300" w:lineRule="exact"/>
    </w:pPr>
    <w:rPr>
      <w:rFonts w:ascii="Sabon MT" w:eastAsia="Times New Roman" w:hAnsi="Sabon MT" w:cs="Times New Roman"/>
      <w:noProof/>
      <w:szCs w:val="20"/>
      <w:lang w:val="de-DE" w:eastAsia="de-DE"/>
    </w:rPr>
  </w:style>
  <w:style w:type="character" w:styleId="Fett">
    <w:name w:val="Strong"/>
    <w:basedOn w:val="Absatz-Standardschriftart"/>
    <w:uiPriority w:val="22"/>
    <w:qFormat/>
    <w:rsid w:val="00A06E17"/>
    <w:rPr>
      <w:b/>
      <w:bCs/>
    </w:rPr>
  </w:style>
  <w:style w:type="character" w:styleId="Hervorhebung">
    <w:name w:val="Emphasis"/>
    <w:basedOn w:val="Absatz-Standardschriftart"/>
    <w:uiPriority w:val="20"/>
    <w:qFormat/>
    <w:rsid w:val="00564D52"/>
    <w:rPr>
      <w:i/>
      <w:iCs/>
    </w:rPr>
  </w:style>
  <w:style w:type="character" w:styleId="NichtaufgelsteErwhnung">
    <w:name w:val="Unresolved Mention"/>
    <w:basedOn w:val="Absatz-Standardschriftart"/>
    <w:uiPriority w:val="99"/>
    <w:semiHidden/>
    <w:unhideWhenUsed/>
    <w:rsid w:val="00AE5E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85631">
      <w:bodyDiv w:val="1"/>
      <w:marLeft w:val="0"/>
      <w:marRight w:val="0"/>
      <w:marTop w:val="0"/>
      <w:marBottom w:val="0"/>
      <w:divBdr>
        <w:top w:val="none" w:sz="0" w:space="0" w:color="auto"/>
        <w:left w:val="none" w:sz="0" w:space="0" w:color="auto"/>
        <w:bottom w:val="none" w:sz="0" w:space="0" w:color="auto"/>
        <w:right w:val="none" w:sz="0" w:space="0" w:color="auto"/>
      </w:divBdr>
      <w:divsChild>
        <w:div w:id="1210650746">
          <w:marLeft w:val="0"/>
          <w:marRight w:val="0"/>
          <w:marTop w:val="0"/>
          <w:marBottom w:val="0"/>
          <w:divBdr>
            <w:top w:val="none" w:sz="0" w:space="0" w:color="auto"/>
            <w:left w:val="none" w:sz="0" w:space="0" w:color="auto"/>
            <w:bottom w:val="none" w:sz="0" w:space="0" w:color="auto"/>
            <w:right w:val="none" w:sz="0" w:space="0" w:color="auto"/>
          </w:divBdr>
        </w:div>
        <w:div w:id="416755795">
          <w:marLeft w:val="0"/>
          <w:marRight w:val="0"/>
          <w:marTop w:val="0"/>
          <w:marBottom w:val="0"/>
          <w:divBdr>
            <w:top w:val="none" w:sz="0" w:space="0" w:color="auto"/>
            <w:left w:val="none" w:sz="0" w:space="0" w:color="auto"/>
            <w:bottom w:val="none" w:sz="0" w:space="0" w:color="auto"/>
            <w:right w:val="none" w:sz="0" w:space="0" w:color="auto"/>
          </w:divBdr>
        </w:div>
      </w:divsChild>
    </w:div>
    <w:div w:id="28378823">
      <w:bodyDiv w:val="1"/>
      <w:marLeft w:val="0"/>
      <w:marRight w:val="0"/>
      <w:marTop w:val="0"/>
      <w:marBottom w:val="0"/>
      <w:divBdr>
        <w:top w:val="none" w:sz="0" w:space="0" w:color="auto"/>
        <w:left w:val="none" w:sz="0" w:space="0" w:color="auto"/>
        <w:bottom w:val="none" w:sz="0" w:space="0" w:color="auto"/>
        <w:right w:val="none" w:sz="0" w:space="0" w:color="auto"/>
      </w:divBdr>
    </w:div>
    <w:div w:id="95829245">
      <w:bodyDiv w:val="1"/>
      <w:marLeft w:val="0"/>
      <w:marRight w:val="0"/>
      <w:marTop w:val="0"/>
      <w:marBottom w:val="0"/>
      <w:divBdr>
        <w:top w:val="none" w:sz="0" w:space="0" w:color="auto"/>
        <w:left w:val="none" w:sz="0" w:space="0" w:color="auto"/>
        <w:bottom w:val="none" w:sz="0" w:space="0" w:color="auto"/>
        <w:right w:val="none" w:sz="0" w:space="0" w:color="auto"/>
      </w:divBdr>
    </w:div>
    <w:div w:id="105006313">
      <w:bodyDiv w:val="1"/>
      <w:marLeft w:val="0"/>
      <w:marRight w:val="0"/>
      <w:marTop w:val="0"/>
      <w:marBottom w:val="0"/>
      <w:divBdr>
        <w:top w:val="none" w:sz="0" w:space="0" w:color="auto"/>
        <w:left w:val="none" w:sz="0" w:space="0" w:color="auto"/>
        <w:bottom w:val="none" w:sz="0" w:space="0" w:color="auto"/>
        <w:right w:val="none" w:sz="0" w:space="0" w:color="auto"/>
      </w:divBdr>
      <w:divsChild>
        <w:div w:id="1622883454">
          <w:marLeft w:val="0"/>
          <w:marRight w:val="0"/>
          <w:marTop w:val="0"/>
          <w:marBottom w:val="0"/>
          <w:divBdr>
            <w:top w:val="none" w:sz="0" w:space="0" w:color="auto"/>
            <w:left w:val="none" w:sz="0" w:space="0" w:color="auto"/>
            <w:bottom w:val="none" w:sz="0" w:space="0" w:color="auto"/>
            <w:right w:val="none" w:sz="0" w:space="0" w:color="auto"/>
          </w:divBdr>
        </w:div>
        <w:div w:id="1395620151">
          <w:marLeft w:val="0"/>
          <w:marRight w:val="0"/>
          <w:marTop w:val="0"/>
          <w:marBottom w:val="0"/>
          <w:divBdr>
            <w:top w:val="none" w:sz="0" w:space="0" w:color="auto"/>
            <w:left w:val="none" w:sz="0" w:space="0" w:color="auto"/>
            <w:bottom w:val="none" w:sz="0" w:space="0" w:color="auto"/>
            <w:right w:val="none" w:sz="0" w:space="0" w:color="auto"/>
          </w:divBdr>
          <w:divsChild>
            <w:div w:id="1065374548">
              <w:marLeft w:val="-225"/>
              <w:marRight w:val="-225"/>
              <w:marTop w:val="0"/>
              <w:marBottom w:val="0"/>
              <w:divBdr>
                <w:top w:val="none" w:sz="0" w:space="0" w:color="auto"/>
                <w:left w:val="none" w:sz="0" w:space="0" w:color="auto"/>
                <w:bottom w:val="none" w:sz="0" w:space="0" w:color="auto"/>
                <w:right w:val="none" w:sz="0" w:space="0" w:color="auto"/>
              </w:divBdr>
              <w:divsChild>
                <w:div w:id="874462797">
                  <w:marLeft w:val="0"/>
                  <w:marRight w:val="0"/>
                  <w:marTop w:val="0"/>
                  <w:marBottom w:val="0"/>
                  <w:divBdr>
                    <w:top w:val="none" w:sz="0" w:space="0" w:color="auto"/>
                    <w:left w:val="none" w:sz="0" w:space="0" w:color="auto"/>
                    <w:bottom w:val="none" w:sz="0" w:space="0" w:color="auto"/>
                    <w:right w:val="none" w:sz="0" w:space="0" w:color="auto"/>
                  </w:divBdr>
                  <w:divsChild>
                    <w:div w:id="1366246349">
                      <w:marLeft w:val="0"/>
                      <w:marRight w:val="0"/>
                      <w:marTop w:val="0"/>
                      <w:marBottom w:val="0"/>
                      <w:divBdr>
                        <w:top w:val="none" w:sz="0" w:space="0" w:color="auto"/>
                        <w:left w:val="none" w:sz="0" w:space="0" w:color="auto"/>
                        <w:bottom w:val="none" w:sz="0" w:space="0" w:color="auto"/>
                        <w:right w:val="none" w:sz="0" w:space="0" w:color="auto"/>
                      </w:divBdr>
                    </w:div>
                  </w:divsChild>
                </w:div>
                <w:div w:id="480851672">
                  <w:marLeft w:val="0"/>
                  <w:marRight w:val="0"/>
                  <w:marTop w:val="0"/>
                  <w:marBottom w:val="0"/>
                  <w:divBdr>
                    <w:top w:val="none" w:sz="0" w:space="0" w:color="auto"/>
                    <w:left w:val="none" w:sz="0" w:space="0" w:color="auto"/>
                    <w:bottom w:val="none" w:sz="0" w:space="0" w:color="auto"/>
                    <w:right w:val="none" w:sz="0" w:space="0" w:color="auto"/>
                  </w:divBdr>
                  <w:divsChild>
                    <w:div w:id="913662029">
                      <w:marLeft w:val="0"/>
                      <w:marRight w:val="0"/>
                      <w:marTop w:val="0"/>
                      <w:marBottom w:val="0"/>
                      <w:divBdr>
                        <w:top w:val="none" w:sz="0" w:space="0" w:color="auto"/>
                        <w:left w:val="none" w:sz="0" w:space="0" w:color="auto"/>
                        <w:bottom w:val="none" w:sz="0" w:space="0" w:color="auto"/>
                        <w:right w:val="none" w:sz="0" w:space="0" w:color="auto"/>
                      </w:divBdr>
                    </w:div>
                  </w:divsChild>
                </w:div>
                <w:div w:id="156652369">
                  <w:marLeft w:val="0"/>
                  <w:marRight w:val="0"/>
                  <w:marTop w:val="0"/>
                  <w:marBottom w:val="0"/>
                  <w:divBdr>
                    <w:top w:val="none" w:sz="0" w:space="0" w:color="auto"/>
                    <w:left w:val="none" w:sz="0" w:space="0" w:color="auto"/>
                    <w:bottom w:val="none" w:sz="0" w:space="0" w:color="auto"/>
                    <w:right w:val="none" w:sz="0" w:space="0" w:color="auto"/>
                  </w:divBdr>
                  <w:divsChild>
                    <w:div w:id="48697812">
                      <w:marLeft w:val="0"/>
                      <w:marRight w:val="0"/>
                      <w:marTop w:val="0"/>
                      <w:marBottom w:val="0"/>
                      <w:divBdr>
                        <w:top w:val="none" w:sz="0" w:space="0" w:color="auto"/>
                        <w:left w:val="none" w:sz="0" w:space="0" w:color="auto"/>
                        <w:bottom w:val="none" w:sz="0" w:space="0" w:color="auto"/>
                        <w:right w:val="none" w:sz="0" w:space="0" w:color="auto"/>
                      </w:divBdr>
                    </w:div>
                  </w:divsChild>
                </w:div>
                <w:div w:id="37633850">
                  <w:marLeft w:val="0"/>
                  <w:marRight w:val="0"/>
                  <w:marTop w:val="0"/>
                  <w:marBottom w:val="0"/>
                  <w:divBdr>
                    <w:top w:val="none" w:sz="0" w:space="0" w:color="auto"/>
                    <w:left w:val="none" w:sz="0" w:space="0" w:color="auto"/>
                    <w:bottom w:val="none" w:sz="0" w:space="0" w:color="auto"/>
                    <w:right w:val="none" w:sz="0" w:space="0" w:color="auto"/>
                  </w:divBdr>
                  <w:divsChild>
                    <w:div w:id="165891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4736970">
          <w:marLeft w:val="-225"/>
          <w:marRight w:val="-225"/>
          <w:marTop w:val="0"/>
          <w:marBottom w:val="0"/>
          <w:divBdr>
            <w:top w:val="none" w:sz="0" w:space="0" w:color="auto"/>
            <w:left w:val="none" w:sz="0" w:space="0" w:color="auto"/>
            <w:bottom w:val="none" w:sz="0" w:space="0" w:color="auto"/>
            <w:right w:val="none" w:sz="0" w:space="0" w:color="auto"/>
          </w:divBdr>
          <w:divsChild>
            <w:div w:id="450054904">
              <w:marLeft w:val="0"/>
              <w:marRight w:val="0"/>
              <w:marTop w:val="0"/>
              <w:marBottom w:val="0"/>
              <w:divBdr>
                <w:top w:val="none" w:sz="0" w:space="0" w:color="auto"/>
                <w:left w:val="none" w:sz="0" w:space="0" w:color="auto"/>
                <w:bottom w:val="none" w:sz="0" w:space="0" w:color="auto"/>
                <w:right w:val="none" w:sz="0" w:space="0" w:color="auto"/>
              </w:divBdr>
              <w:divsChild>
                <w:div w:id="1904832837">
                  <w:marLeft w:val="0"/>
                  <w:marRight w:val="0"/>
                  <w:marTop w:val="0"/>
                  <w:marBottom w:val="0"/>
                  <w:divBdr>
                    <w:top w:val="none" w:sz="0" w:space="0" w:color="auto"/>
                    <w:left w:val="none" w:sz="0" w:space="0" w:color="auto"/>
                    <w:bottom w:val="none" w:sz="0" w:space="0" w:color="auto"/>
                    <w:right w:val="none" w:sz="0" w:space="0" w:color="auto"/>
                  </w:divBdr>
                </w:div>
              </w:divsChild>
            </w:div>
            <w:div w:id="555896606">
              <w:marLeft w:val="0"/>
              <w:marRight w:val="0"/>
              <w:marTop w:val="0"/>
              <w:marBottom w:val="0"/>
              <w:divBdr>
                <w:top w:val="none" w:sz="0" w:space="0" w:color="auto"/>
                <w:left w:val="none" w:sz="0" w:space="0" w:color="auto"/>
                <w:bottom w:val="none" w:sz="0" w:space="0" w:color="auto"/>
                <w:right w:val="none" w:sz="0" w:space="0" w:color="auto"/>
              </w:divBdr>
              <w:divsChild>
                <w:div w:id="477650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8000496">
          <w:marLeft w:val="-225"/>
          <w:marRight w:val="-225"/>
          <w:marTop w:val="0"/>
          <w:marBottom w:val="0"/>
          <w:divBdr>
            <w:top w:val="none" w:sz="0" w:space="0" w:color="auto"/>
            <w:left w:val="none" w:sz="0" w:space="0" w:color="auto"/>
            <w:bottom w:val="none" w:sz="0" w:space="0" w:color="auto"/>
            <w:right w:val="none" w:sz="0" w:space="0" w:color="auto"/>
          </w:divBdr>
          <w:divsChild>
            <w:div w:id="931367">
              <w:marLeft w:val="0"/>
              <w:marRight w:val="0"/>
              <w:marTop w:val="0"/>
              <w:marBottom w:val="0"/>
              <w:divBdr>
                <w:top w:val="none" w:sz="0" w:space="0" w:color="auto"/>
                <w:left w:val="none" w:sz="0" w:space="0" w:color="auto"/>
                <w:bottom w:val="none" w:sz="0" w:space="0" w:color="auto"/>
                <w:right w:val="none" w:sz="0" w:space="0" w:color="auto"/>
              </w:divBdr>
              <w:divsChild>
                <w:div w:id="1273246880">
                  <w:marLeft w:val="0"/>
                  <w:marRight w:val="0"/>
                  <w:marTop w:val="0"/>
                  <w:marBottom w:val="0"/>
                  <w:divBdr>
                    <w:top w:val="none" w:sz="0" w:space="0" w:color="auto"/>
                    <w:left w:val="none" w:sz="0" w:space="0" w:color="auto"/>
                    <w:bottom w:val="none" w:sz="0" w:space="0" w:color="auto"/>
                    <w:right w:val="none" w:sz="0" w:space="0" w:color="auto"/>
                  </w:divBdr>
                </w:div>
              </w:divsChild>
            </w:div>
            <w:div w:id="1590505200">
              <w:marLeft w:val="0"/>
              <w:marRight w:val="0"/>
              <w:marTop w:val="0"/>
              <w:marBottom w:val="0"/>
              <w:divBdr>
                <w:top w:val="none" w:sz="0" w:space="0" w:color="auto"/>
                <w:left w:val="none" w:sz="0" w:space="0" w:color="auto"/>
                <w:bottom w:val="none" w:sz="0" w:space="0" w:color="auto"/>
                <w:right w:val="none" w:sz="0" w:space="0" w:color="auto"/>
              </w:divBdr>
              <w:divsChild>
                <w:div w:id="15658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6053980">
          <w:marLeft w:val="0"/>
          <w:marRight w:val="0"/>
          <w:marTop w:val="0"/>
          <w:marBottom w:val="0"/>
          <w:divBdr>
            <w:top w:val="none" w:sz="0" w:space="0" w:color="auto"/>
            <w:left w:val="none" w:sz="0" w:space="0" w:color="auto"/>
            <w:bottom w:val="none" w:sz="0" w:space="0" w:color="auto"/>
            <w:right w:val="none" w:sz="0" w:space="0" w:color="auto"/>
          </w:divBdr>
        </w:div>
      </w:divsChild>
    </w:div>
    <w:div w:id="211577211">
      <w:bodyDiv w:val="1"/>
      <w:marLeft w:val="0"/>
      <w:marRight w:val="0"/>
      <w:marTop w:val="0"/>
      <w:marBottom w:val="0"/>
      <w:divBdr>
        <w:top w:val="none" w:sz="0" w:space="0" w:color="auto"/>
        <w:left w:val="none" w:sz="0" w:space="0" w:color="auto"/>
        <w:bottom w:val="none" w:sz="0" w:space="0" w:color="auto"/>
        <w:right w:val="none" w:sz="0" w:space="0" w:color="auto"/>
      </w:divBdr>
    </w:div>
    <w:div w:id="278798801">
      <w:bodyDiv w:val="1"/>
      <w:marLeft w:val="0"/>
      <w:marRight w:val="0"/>
      <w:marTop w:val="0"/>
      <w:marBottom w:val="0"/>
      <w:divBdr>
        <w:top w:val="none" w:sz="0" w:space="0" w:color="auto"/>
        <w:left w:val="none" w:sz="0" w:space="0" w:color="auto"/>
        <w:bottom w:val="none" w:sz="0" w:space="0" w:color="auto"/>
        <w:right w:val="none" w:sz="0" w:space="0" w:color="auto"/>
      </w:divBdr>
    </w:div>
    <w:div w:id="288442609">
      <w:bodyDiv w:val="1"/>
      <w:marLeft w:val="0"/>
      <w:marRight w:val="0"/>
      <w:marTop w:val="0"/>
      <w:marBottom w:val="0"/>
      <w:divBdr>
        <w:top w:val="none" w:sz="0" w:space="0" w:color="auto"/>
        <w:left w:val="none" w:sz="0" w:space="0" w:color="auto"/>
        <w:bottom w:val="none" w:sz="0" w:space="0" w:color="auto"/>
        <w:right w:val="none" w:sz="0" w:space="0" w:color="auto"/>
      </w:divBdr>
    </w:div>
    <w:div w:id="397946404">
      <w:bodyDiv w:val="1"/>
      <w:marLeft w:val="0"/>
      <w:marRight w:val="0"/>
      <w:marTop w:val="0"/>
      <w:marBottom w:val="0"/>
      <w:divBdr>
        <w:top w:val="none" w:sz="0" w:space="0" w:color="auto"/>
        <w:left w:val="none" w:sz="0" w:space="0" w:color="auto"/>
        <w:bottom w:val="none" w:sz="0" w:space="0" w:color="auto"/>
        <w:right w:val="none" w:sz="0" w:space="0" w:color="auto"/>
      </w:divBdr>
    </w:div>
    <w:div w:id="430206108">
      <w:bodyDiv w:val="1"/>
      <w:marLeft w:val="0"/>
      <w:marRight w:val="0"/>
      <w:marTop w:val="0"/>
      <w:marBottom w:val="0"/>
      <w:divBdr>
        <w:top w:val="none" w:sz="0" w:space="0" w:color="auto"/>
        <w:left w:val="none" w:sz="0" w:space="0" w:color="auto"/>
        <w:bottom w:val="none" w:sz="0" w:space="0" w:color="auto"/>
        <w:right w:val="none" w:sz="0" w:space="0" w:color="auto"/>
      </w:divBdr>
    </w:div>
    <w:div w:id="460459536">
      <w:bodyDiv w:val="1"/>
      <w:marLeft w:val="0"/>
      <w:marRight w:val="0"/>
      <w:marTop w:val="0"/>
      <w:marBottom w:val="0"/>
      <w:divBdr>
        <w:top w:val="none" w:sz="0" w:space="0" w:color="auto"/>
        <w:left w:val="none" w:sz="0" w:space="0" w:color="auto"/>
        <w:bottom w:val="none" w:sz="0" w:space="0" w:color="auto"/>
        <w:right w:val="none" w:sz="0" w:space="0" w:color="auto"/>
      </w:divBdr>
    </w:div>
    <w:div w:id="588461469">
      <w:bodyDiv w:val="1"/>
      <w:marLeft w:val="0"/>
      <w:marRight w:val="0"/>
      <w:marTop w:val="0"/>
      <w:marBottom w:val="0"/>
      <w:divBdr>
        <w:top w:val="none" w:sz="0" w:space="0" w:color="auto"/>
        <w:left w:val="none" w:sz="0" w:space="0" w:color="auto"/>
        <w:bottom w:val="none" w:sz="0" w:space="0" w:color="auto"/>
        <w:right w:val="none" w:sz="0" w:space="0" w:color="auto"/>
      </w:divBdr>
      <w:divsChild>
        <w:div w:id="592201215">
          <w:marLeft w:val="0"/>
          <w:marRight w:val="0"/>
          <w:marTop w:val="0"/>
          <w:marBottom w:val="0"/>
          <w:divBdr>
            <w:top w:val="none" w:sz="0" w:space="0" w:color="auto"/>
            <w:left w:val="none" w:sz="0" w:space="0" w:color="auto"/>
            <w:bottom w:val="none" w:sz="0" w:space="0" w:color="auto"/>
            <w:right w:val="none" w:sz="0" w:space="0" w:color="auto"/>
          </w:divBdr>
        </w:div>
        <w:div w:id="1303117901">
          <w:marLeft w:val="0"/>
          <w:marRight w:val="0"/>
          <w:marTop w:val="0"/>
          <w:marBottom w:val="0"/>
          <w:divBdr>
            <w:top w:val="none" w:sz="0" w:space="0" w:color="auto"/>
            <w:left w:val="none" w:sz="0" w:space="0" w:color="auto"/>
            <w:bottom w:val="none" w:sz="0" w:space="0" w:color="auto"/>
            <w:right w:val="none" w:sz="0" w:space="0" w:color="auto"/>
          </w:divBdr>
        </w:div>
        <w:div w:id="1696693495">
          <w:marLeft w:val="0"/>
          <w:marRight w:val="0"/>
          <w:marTop w:val="0"/>
          <w:marBottom w:val="0"/>
          <w:divBdr>
            <w:top w:val="none" w:sz="0" w:space="0" w:color="auto"/>
            <w:left w:val="none" w:sz="0" w:space="0" w:color="auto"/>
            <w:bottom w:val="none" w:sz="0" w:space="0" w:color="auto"/>
            <w:right w:val="none" w:sz="0" w:space="0" w:color="auto"/>
          </w:divBdr>
        </w:div>
      </w:divsChild>
    </w:div>
    <w:div w:id="696124040">
      <w:bodyDiv w:val="1"/>
      <w:marLeft w:val="0"/>
      <w:marRight w:val="0"/>
      <w:marTop w:val="0"/>
      <w:marBottom w:val="0"/>
      <w:divBdr>
        <w:top w:val="none" w:sz="0" w:space="0" w:color="auto"/>
        <w:left w:val="none" w:sz="0" w:space="0" w:color="auto"/>
        <w:bottom w:val="none" w:sz="0" w:space="0" w:color="auto"/>
        <w:right w:val="none" w:sz="0" w:space="0" w:color="auto"/>
      </w:divBdr>
    </w:div>
    <w:div w:id="738552783">
      <w:bodyDiv w:val="1"/>
      <w:marLeft w:val="0"/>
      <w:marRight w:val="0"/>
      <w:marTop w:val="0"/>
      <w:marBottom w:val="0"/>
      <w:divBdr>
        <w:top w:val="none" w:sz="0" w:space="0" w:color="auto"/>
        <w:left w:val="none" w:sz="0" w:space="0" w:color="auto"/>
        <w:bottom w:val="none" w:sz="0" w:space="0" w:color="auto"/>
        <w:right w:val="none" w:sz="0" w:space="0" w:color="auto"/>
      </w:divBdr>
    </w:div>
    <w:div w:id="750930965">
      <w:bodyDiv w:val="1"/>
      <w:marLeft w:val="0"/>
      <w:marRight w:val="0"/>
      <w:marTop w:val="0"/>
      <w:marBottom w:val="0"/>
      <w:divBdr>
        <w:top w:val="none" w:sz="0" w:space="0" w:color="auto"/>
        <w:left w:val="none" w:sz="0" w:space="0" w:color="auto"/>
        <w:bottom w:val="none" w:sz="0" w:space="0" w:color="auto"/>
        <w:right w:val="none" w:sz="0" w:space="0" w:color="auto"/>
      </w:divBdr>
    </w:div>
    <w:div w:id="820584091">
      <w:bodyDiv w:val="1"/>
      <w:marLeft w:val="0"/>
      <w:marRight w:val="0"/>
      <w:marTop w:val="0"/>
      <w:marBottom w:val="0"/>
      <w:divBdr>
        <w:top w:val="none" w:sz="0" w:space="0" w:color="auto"/>
        <w:left w:val="none" w:sz="0" w:space="0" w:color="auto"/>
        <w:bottom w:val="none" w:sz="0" w:space="0" w:color="auto"/>
        <w:right w:val="none" w:sz="0" w:space="0" w:color="auto"/>
      </w:divBdr>
    </w:div>
    <w:div w:id="973412765">
      <w:bodyDiv w:val="1"/>
      <w:marLeft w:val="0"/>
      <w:marRight w:val="0"/>
      <w:marTop w:val="0"/>
      <w:marBottom w:val="0"/>
      <w:divBdr>
        <w:top w:val="none" w:sz="0" w:space="0" w:color="auto"/>
        <w:left w:val="none" w:sz="0" w:space="0" w:color="auto"/>
        <w:bottom w:val="none" w:sz="0" w:space="0" w:color="auto"/>
        <w:right w:val="none" w:sz="0" w:space="0" w:color="auto"/>
      </w:divBdr>
    </w:div>
    <w:div w:id="975523780">
      <w:bodyDiv w:val="1"/>
      <w:marLeft w:val="0"/>
      <w:marRight w:val="0"/>
      <w:marTop w:val="0"/>
      <w:marBottom w:val="0"/>
      <w:divBdr>
        <w:top w:val="none" w:sz="0" w:space="0" w:color="auto"/>
        <w:left w:val="none" w:sz="0" w:space="0" w:color="auto"/>
        <w:bottom w:val="none" w:sz="0" w:space="0" w:color="auto"/>
        <w:right w:val="none" w:sz="0" w:space="0" w:color="auto"/>
      </w:divBdr>
      <w:divsChild>
        <w:div w:id="119301446">
          <w:marLeft w:val="0"/>
          <w:marRight w:val="0"/>
          <w:marTop w:val="0"/>
          <w:marBottom w:val="0"/>
          <w:divBdr>
            <w:top w:val="none" w:sz="0" w:space="0" w:color="auto"/>
            <w:left w:val="none" w:sz="0" w:space="0" w:color="auto"/>
            <w:bottom w:val="none" w:sz="0" w:space="0" w:color="auto"/>
            <w:right w:val="none" w:sz="0" w:space="0" w:color="auto"/>
          </w:divBdr>
        </w:div>
        <w:div w:id="135488315">
          <w:marLeft w:val="0"/>
          <w:marRight w:val="0"/>
          <w:marTop w:val="0"/>
          <w:marBottom w:val="0"/>
          <w:divBdr>
            <w:top w:val="none" w:sz="0" w:space="0" w:color="auto"/>
            <w:left w:val="none" w:sz="0" w:space="0" w:color="auto"/>
            <w:bottom w:val="none" w:sz="0" w:space="0" w:color="auto"/>
            <w:right w:val="none" w:sz="0" w:space="0" w:color="auto"/>
          </w:divBdr>
        </w:div>
        <w:div w:id="437481537">
          <w:marLeft w:val="0"/>
          <w:marRight w:val="0"/>
          <w:marTop w:val="0"/>
          <w:marBottom w:val="0"/>
          <w:divBdr>
            <w:top w:val="none" w:sz="0" w:space="0" w:color="auto"/>
            <w:left w:val="none" w:sz="0" w:space="0" w:color="auto"/>
            <w:bottom w:val="none" w:sz="0" w:space="0" w:color="auto"/>
            <w:right w:val="none" w:sz="0" w:space="0" w:color="auto"/>
          </w:divBdr>
        </w:div>
        <w:div w:id="494301550">
          <w:marLeft w:val="0"/>
          <w:marRight w:val="0"/>
          <w:marTop w:val="0"/>
          <w:marBottom w:val="0"/>
          <w:divBdr>
            <w:top w:val="none" w:sz="0" w:space="0" w:color="auto"/>
            <w:left w:val="none" w:sz="0" w:space="0" w:color="auto"/>
            <w:bottom w:val="none" w:sz="0" w:space="0" w:color="auto"/>
            <w:right w:val="none" w:sz="0" w:space="0" w:color="auto"/>
          </w:divBdr>
        </w:div>
        <w:div w:id="518157865">
          <w:marLeft w:val="0"/>
          <w:marRight w:val="0"/>
          <w:marTop w:val="0"/>
          <w:marBottom w:val="0"/>
          <w:divBdr>
            <w:top w:val="none" w:sz="0" w:space="0" w:color="auto"/>
            <w:left w:val="none" w:sz="0" w:space="0" w:color="auto"/>
            <w:bottom w:val="none" w:sz="0" w:space="0" w:color="auto"/>
            <w:right w:val="none" w:sz="0" w:space="0" w:color="auto"/>
          </w:divBdr>
        </w:div>
        <w:div w:id="897982040">
          <w:marLeft w:val="0"/>
          <w:marRight w:val="0"/>
          <w:marTop w:val="0"/>
          <w:marBottom w:val="0"/>
          <w:divBdr>
            <w:top w:val="none" w:sz="0" w:space="0" w:color="auto"/>
            <w:left w:val="none" w:sz="0" w:space="0" w:color="auto"/>
            <w:bottom w:val="none" w:sz="0" w:space="0" w:color="auto"/>
            <w:right w:val="none" w:sz="0" w:space="0" w:color="auto"/>
          </w:divBdr>
        </w:div>
        <w:div w:id="1021736781">
          <w:marLeft w:val="0"/>
          <w:marRight w:val="0"/>
          <w:marTop w:val="0"/>
          <w:marBottom w:val="0"/>
          <w:divBdr>
            <w:top w:val="none" w:sz="0" w:space="0" w:color="auto"/>
            <w:left w:val="none" w:sz="0" w:space="0" w:color="auto"/>
            <w:bottom w:val="none" w:sz="0" w:space="0" w:color="auto"/>
            <w:right w:val="none" w:sz="0" w:space="0" w:color="auto"/>
          </w:divBdr>
        </w:div>
        <w:div w:id="1037661940">
          <w:marLeft w:val="0"/>
          <w:marRight w:val="0"/>
          <w:marTop w:val="0"/>
          <w:marBottom w:val="0"/>
          <w:divBdr>
            <w:top w:val="none" w:sz="0" w:space="0" w:color="auto"/>
            <w:left w:val="none" w:sz="0" w:space="0" w:color="auto"/>
            <w:bottom w:val="none" w:sz="0" w:space="0" w:color="auto"/>
            <w:right w:val="none" w:sz="0" w:space="0" w:color="auto"/>
          </w:divBdr>
        </w:div>
        <w:div w:id="1148280023">
          <w:marLeft w:val="0"/>
          <w:marRight w:val="0"/>
          <w:marTop w:val="0"/>
          <w:marBottom w:val="0"/>
          <w:divBdr>
            <w:top w:val="none" w:sz="0" w:space="0" w:color="auto"/>
            <w:left w:val="none" w:sz="0" w:space="0" w:color="auto"/>
            <w:bottom w:val="none" w:sz="0" w:space="0" w:color="auto"/>
            <w:right w:val="none" w:sz="0" w:space="0" w:color="auto"/>
          </w:divBdr>
        </w:div>
        <w:div w:id="1576478393">
          <w:marLeft w:val="0"/>
          <w:marRight w:val="0"/>
          <w:marTop w:val="0"/>
          <w:marBottom w:val="0"/>
          <w:divBdr>
            <w:top w:val="none" w:sz="0" w:space="0" w:color="auto"/>
            <w:left w:val="none" w:sz="0" w:space="0" w:color="auto"/>
            <w:bottom w:val="none" w:sz="0" w:space="0" w:color="auto"/>
            <w:right w:val="none" w:sz="0" w:space="0" w:color="auto"/>
          </w:divBdr>
        </w:div>
        <w:div w:id="1590238098">
          <w:marLeft w:val="0"/>
          <w:marRight w:val="0"/>
          <w:marTop w:val="0"/>
          <w:marBottom w:val="0"/>
          <w:divBdr>
            <w:top w:val="none" w:sz="0" w:space="0" w:color="auto"/>
            <w:left w:val="none" w:sz="0" w:space="0" w:color="auto"/>
            <w:bottom w:val="none" w:sz="0" w:space="0" w:color="auto"/>
            <w:right w:val="none" w:sz="0" w:space="0" w:color="auto"/>
          </w:divBdr>
        </w:div>
        <w:div w:id="2114786146">
          <w:marLeft w:val="0"/>
          <w:marRight w:val="0"/>
          <w:marTop w:val="0"/>
          <w:marBottom w:val="0"/>
          <w:divBdr>
            <w:top w:val="none" w:sz="0" w:space="0" w:color="auto"/>
            <w:left w:val="none" w:sz="0" w:space="0" w:color="auto"/>
            <w:bottom w:val="none" w:sz="0" w:space="0" w:color="auto"/>
            <w:right w:val="none" w:sz="0" w:space="0" w:color="auto"/>
          </w:divBdr>
        </w:div>
        <w:div w:id="2116631034">
          <w:marLeft w:val="0"/>
          <w:marRight w:val="0"/>
          <w:marTop w:val="0"/>
          <w:marBottom w:val="0"/>
          <w:divBdr>
            <w:top w:val="none" w:sz="0" w:space="0" w:color="auto"/>
            <w:left w:val="none" w:sz="0" w:space="0" w:color="auto"/>
            <w:bottom w:val="none" w:sz="0" w:space="0" w:color="auto"/>
            <w:right w:val="none" w:sz="0" w:space="0" w:color="auto"/>
          </w:divBdr>
        </w:div>
      </w:divsChild>
    </w:div>
    <w:div w:id="979380280">
      <w:bodyDiv w:val="1"/>
      <w:marLeft w:val="0"/>
      <w:marRight w:val="0"/>
      <w:marTop w:val="0"/>
      <w:marBottom w:val="0"/>
      <w:divBdr>
        <w:top w:val="none" w:sz="0" w:space="0" w:color="auto"/>
        <w:left w:val="none" w:sz="0" w:space="0" w:color="auto"/>
        <w:bottom w:val="none" w:sz="0" w:space="0" w:color="auto"/>
        <w:right w:val="none" w:sz="0" w:space="0" w:color="auto"/>
      </w:divBdr>
    </w:div>
    <w:div w:id="1085765305">
      <w:bodyDiv w:val="1"/>
      <w:marLeft w:val="0"/>
      <w:marRight w:val="0"/>
      <w:marTop w:val="0"/>
      <w:marBottom w:val="0"/>
      <w:divBdr>
        <w:top w:val="none" w:sz="0" w:space="0" w:color="auto"/>
        <w:left w:val="none" w:sz="0" w:space="0" w:color="auto"/>
        <w:bottom w:val="none" w:sz="0" w:space="0" w:color="auto"/>
        <w:right w:val="none" w:sz="0" w:space="0" w:color="auto"/>
      </w:divBdr>
    </w:div>
    <w:div w:id="1123111859">
      <w:bodyDiv w:val="1"/>
      <w:marLeft w:val="0"/>
      <w:marRight w:val="0"/>
      <w:marTop w:val="0"/>
      <w:marBottom w:val="0"/>
      <w:divBdr>
        <w:top w:val="none" w:sz="0" w:space="0" w:color="auto"/>
        <w:left w:val="none" w:sz="0" w:space="0" w:color="auto"/>
        <w:bottom w:val="none" w:sz="0" w:space="0" w:color="auto"/>
        <w:right w:val="none" w:sz="0" w:space="0" w:color="auto"/>
      </w:divBdr>
    </w:div>
    <w:div w:id="1149857744">
      <w:bodyDiv w:val="1"/>
      <w:marLeft w:val="0"/>
      <w:marRight w:val="0"/>
      <w:marTop w:val="0"/>
      <w:marBottom w:val="0"/>
      <w:divBdr>
        <w:top w:val="none" w:sz="0" w:space="0" w:color="auto"/>
        <w:left w:val="none" w:sz="0" w:space="0" w:color="auto"/>
        <w:bottom w:val="none" w:sz="0" w:space="0" w:color="auto"/>
        <w:right w:val="none" w:sz="0" w:space="0" w:color="auto"/>
      </w:divBdr>
    </w:div>
    <w:div w:id="1169566746">
      <w:bodyDiv w:val="1"/>
      <w:marLeft w:val="0"/>
      <w:marRight w:val="0"/>
      <w:marTop w:val="0"/>
      <w:marBottom w:val="0"/>
      <w:divBdr>
        <w:top w:val="none" w:sz="0" w:space="0" w:color="auto"/>
        <w:left w:val="none" w:sz="0" w:space="0" w:color="auto"/>
        <w:bottom w:val="none" w:sz="0" w:space="0" w:color="auto"/>
        <w:right w:val="none" w:sz="0" w:space="0" w:color="auto"/>
      </w:divBdr>
      <w:divsChild>
        <w:div w:id="1814327476">
          <w:marLeft w:val="0"/>
          <w:marRight w:val="0"/>
          <w:marTop w:val="0"/>
          <w:marBottom w:val="0"/>
          <w:divBdr>
            <w:top w:val="none" w:sz="0" w:space="0" w:color="auto"/>
            <w:left w:val="none" w:sz="0" w:space="0" w:color="auto"/>
            <w:bottom w:val="none" w:sz="0" w:space="0" w:color="auto"/>
            <w:right w:val="none" w:sz="0" w:space="0" w:color="auto"/>
          </w:divBdr>
        </w:div>
      </w:divsChild>
    </w:div>
    <w:div w:id="1441334381">
      <w:bodyDiv w:val="1"/>
      <w:marLeft w:val="0"/>
      <w:marRight w:val="0"/>
      <w:marTop w:val="0"/>
      <w:marBottom w:val="0"/>
      <w:divBdr>
        <w:top w:val="none" w:sz="0" w:space="0" w:color="auto"/>
        <w:left w:val="none" w:sz="0" w:space="0" w:color="auto"/>
        <w:bottom w:val="none" w:sz="0" w:space="0" w:color="auto"/>
        <w:right w:val="none" w:sz="0" w:space="0" w:color="auto"/>
      </w:divBdr>
      <w:divsChild>
        <w:div w:id="2085296766">
          <w:marLeft w:val="0"/>
          <w:marRight w:val="0"/>
          <w:marTop w:val="0"/>
          <w:marBottom w:val="0"/>
          <w:divBdr>
            <w:top w:val="none" w:sz="0" w:space="0" w:color="auto"/>
            <w:left w:val="none" w:sz="0" w:space="0" w:color="auto"/>
            <w:bottom w:val="none" w:sz="0" w:space="0" w:color="auto"/>
            <w:right w:val="none" w:sz="0" w:space="0" w:color="auto"/>
          </w:divBdr>
          <w:divsChild>
            <w:div w:id="878472229">
              <w:marLeft w:val="0"/>
              <w:marRight w:val="0"/>
              <w:marTop w:val="0"/>
              <w:marBottom w:val="0"/>
              <w:divBdr>
                <w:top w:val="none" w:sz="0" w:space="0" w:color="auto"/>
                <w:left w:val="none" w:sz="0" w:space="0" w:color="auto"/>
                <w:bottom w:val="none" w:sz="0" w:space="0" w:color="auto"/>
                <w:right w:val="none" w:sz="0" w:space="0" w:color="auto"/>
              </w:divBdr>
              <w:divsChild>
                <w:div w:id="1513375337">
                  <w:marLeft w:val="0"/>
                  <w:marRight w:val="0"/>
                  <w:marTop w:val="0"/>
                  <w:marBottom w:val="0"/>
                  <w:divBdr>
                    <w:top w:val="none" w:sz="0" w:space="0" w:color="auto"/>
                    <w:left w:val="none" w:sz="0" w:space="0" w:color="auto"/>
                    <w:bottom w:val="none" w:sz="0" w:space="0" w:color="auto"/>
                    <w:right w:val="none" w:sz="0" w:space="0" w:color="auto"/>
                  </w:divBdr>
                  <w:divsChild>
                    <w:div w:id="1288120438">
                      <w:marLeft w:val="0"/>
                      <w:marRight w:val="0"/>
                      <w:marTop w:val="0"/>
                      <w:marBottom w:val="0"/>
                      <w:divBdr>
                        <w:top w:val="none" w:sz="0" w:space="0" w:color="auto"/>
                        <w:left w:val="none" w:sz="0" w:space="0" w:color="auto"/>
                        <w:bottom w:val="none" w:sz="0" w:space="0" w:color="auto"/>
                        <w:right w:val="none" w:sz="0" w:space="0" w:color="auto"/>
                      </w:divBdr>
                      <w:divsChild>
                        <w:div w:id="1105730334">
                          <w:marLeft w:val="0"/>
                          <w:marRight w:val="0"/>
                          <w:marTop w:val="0"/>
                          <w:marBottom w:val="0"/>
                          <w:divBdr>
                            <w:top w:val="none" w:sz="0" w:space="0" w:color="auto"/>
                            <w:left w:val="none" w:sz="0" w:space="0" w:color="auto"/>
                            <w:bottom w:val="none" w:sz="0" w:space="0" w:color="auto"/>
                            <w:right w:val="none" w:sz="0" w:space="0" w:color="auto"/>
                          </w:divBdr>
                          <w:divsChild>
                            <w:div w:id="93598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93465984">
      <w:bodyDiv w:val="1"/>
      <w:marLeft w:val="0"/>
      <w:marRight w:val="0"/>
      <w:marTop w:val="0"/>
      <w:marBottom w:val="0"/>
      <w:divBdr>
        <w:top w:val="none" w:sz="0" w:space="0" w:color="auto"/>
        <w:left w:val="none" w:sz="0" w:space="0" w:color="auto"/>
        <w:bottom w:val="none" w:sz="0" w:space="0" w:color="auto"/>
        <w:right w:val="none" w:sz="0" w:space="0" w:color="auto"/>
      </w:divBdr>
      <w:divsChild>
        <w:div w:id="1248226841">
          <w:marLeft w:val="0"/>
          <w:marRight w:val="0"/>
          <w:marTop w:val="0"/>
          <w:marBottom w:val="0"/>
          <w:divBdr>
            <w:top w:val="none" w:sz="0" w:space="0" w:color="auto"/>
            <w:left w:val="none" w:sz="0" w:space="0" w:color="auto"/>
            <w:bottom w:val="none" w:sz="0" w:space="0" w:color="auto"/>
            <w:right w:val="none" w:sz="0" w:space="0" w:color="auto"/>
          </w:divBdr>
        </w:div>
        <w:div w:id="1257206017">
          <w:marLeft w:val="0"/>
          <w:marRight w:val="0"/>
          <w:marTop w:val="0"/>
          <w:marBottom w:val="0"/>
          <w:divBdr>
            <w:top w:val="none" w:sz="0" w:space="0" w:color="auto"/>
            <w:left w:val="none" w:sz="0" w:space="0" w:color="auto"/>
            <w:bottom w:val="none" w:sz="0" w:space="0" w:color="auto"/>
            <w:right w:val="none" w:sz="0" w:space="0" w:color="auto"/>
          </w:divBdr>
        </w:div>
        <w:div w:id="1830704820">
          <w:marLeft w:val="0"/>
          <w:marRight w:val="0"/>
          <w:marTop w:val="0"/>
          <w:marBottom w:val="0"/>
          <w:divBdr>
            <w:top w:val="none" w:sz="0" w:space="0" w:color="auto"/>
            <w:left w:val="none" w:sz="0" w:space="0" w:color="auto"/>
            <w:bottom w:val="none" w:sz="0" w:space="0" w:color="auto"/>
            <w:right w:val="none" w:sz="0" w:space="0" w:color="auto"/>
          </w:divBdr>
        </w:div>
      </w:divsChild>
    </w:div>
    <w:div w:id="1958372256">
      <w:bodyDiv w:val="1"/>
      <w:marLeft w:val="0"/>
      <w:marRight w:val="0"/>
      <w:marTop w:val="0"/>
      <w:marBottom w:val="0"/>
      <w:divBdr>
        <w:top w:val="none" w:sz="0" w:space="0" w:color="auto"/>
        <w:left w:val="none" w:sz="0" w:space="0" w:color="auto"/>
        <w:bottom w:val="none" w:sz="0" w:space="0" w:color="auto"/>
        <w:right w:val="none" w:sz="0" w:space="0" w:color="auto"/>
      </w:divBdr>
    </w:div>
    <w:div w:id="1977834815">
      <w:bodyDiv w:val="1"/>
      <w:marLeft w:val="0"/>
      <w:marRight w:val="0"/>
      <w:marTop w:val="0"/>
      <w:marBottom w:val="0"/>
      <w:divBdr>
        <w:top w:val="none" w:sz="0" w:space="0" w:color="auto"/>
        <w:left w:val="none" w:sz="0" w:space="0" w:color="auto"/>
        <w:bottom w:val="none" w:sz="0" w:space="0" w:color="auto"/>
        <w:right w:val="none" w:sz="0" w:space="0" w:color="auto"/>
      </w:divBdr>
    </w:div>
    <w:div w:id="2001620690">
      <w:bodyDiv w:val="1"/>
      <w:marLeft w:val="0"/>
      <w:marRight w:val="0"/>
      <w:marTop w:val="0"/>
      <w:marBottom w:val="0"/>
      <w:divBdr>
        <w:top w:val="none" w:sz="0" w:space="0" w:color="auto"/>
        <w:left w:val="none" w:sz="0" w:space="0" w:color="auto"/>
        <w:bottom w:val="none" w:sz="0" w:space="0" w:color="auto"/>
        <w:right w:val="none" w:sz="0" w:space="0" w:color="auto"/>
      </w:divBdr>
    </w:div>
    <w:div w:id="2133747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fabed9dd-f496-44eb-9d7e-8bf44dfd4a3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5E46AA57A40A14FA853525935DE54F7" ma:contentTypeVersion="15" ma:contentTypeDescription="Crée un document." ma:contentTypeScope="" ma:versionID="266630269bdfead4a03e60eac801e9f8">
  <xsd:schema xmlns:xsd="http://www.w3.org/2001/XMLSchema" xmlns:xs="http://www.w3.org/2001/XMLSchema" xmlns:p="http://schemas.microsoft.com/office/2006/metadata/properties" xmlns:ns3="8d242a98-fd17-455f-8b92-569554dc5489" xmlns:ns4="fabed9dd-f496-44eb-9d7e-8bf44dfd4a3a" targetNamespace="http://schemas.microsoft.com/office/2006/metadata/properties" ma:root="true" ma:fieldsID="086dfd447fb2b65a5d9f5cd2c4c5dbce" ns3:_="" ns4:_="">
    <xsd:import namespace="8d242a98-fd17-455f-8b92-569554dc5489"/>
    <xsd:import namespace="fabed9dd-f496-44eb-9d7e-8bf44dfd4a3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LengthInSeconds" minOccurs="0"/>
                <xsd:element ref="ns4:_activity" minOccurs="0"/>
                <xsd:element ref="ns4:MediaServiceObjectDetectorVersions" minOccurs="0"/>
                <xsd:element ref="ns4:MediaServiceSystemTags" minOccurs="0"/>
                <xsd:element ref="ns4:MediaServiceOCR" minOccurs="0"/>
                <xsd:element ref="ns4:MediaServiceGenerationTime" minOccurs="0"/>
                <xsd:element ref="ns4:MediaServiceEventHashCode" minOccurs="0"/>
                <xsd:element ref="ns4:MediaServiceLocation"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242a98-fd17-455f-8b92-569554dc5489"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SharingHintHash" ma:index="10" nillable="true" ma:displayName="Partage du hachage d’indicateu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abed9dd-f496-44eb-9d7e-8bf44dfd4a3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_activity" ma:index="15" nillable="true" ma:displayName="_activity" ma:hidden="true" ma:internalName="_activity">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EBB2CC-A829-4AB6-BC2A-55748ACA2FCC}">
  <ds:schemaRefs>
    <ds:schemaRef ds:uri="http://schemas.microsoft.com/office/2006/metadata/properties"/>
    <ds:schemaRef ds:uri="http://schemas.microsoft.com/office/infopath/2007/PartnerControls"/>
    <ds:schemaRef ds:uri="fabed9dd-f496-44eb-9d7e-8bf44dfd4a3a"/>
  </ds:schemaRefs>
</ds:datastoreItem>
</file>

<file path=customXml/itemProps2.xml><?xml version="1.0" encoding="utf-8"?>
<ds:datastoreItem xmlns:ds="http://schemas.openxmlformats.org/officeDocument/2006/customXml" ds:itemID="{CA5DF1B5-B092-43F2-80EB-ECE0E5EC8369}">
  <ds:schemaRefs>
    <ds:schemaRef ds:uri="http://schemas.microsoft.com/sharepoint/v3/contenttype/forms"/>
  </ds:schemaRefs>
</ds:datastoreItem>
</file>

<file path=customXml/itemProps3.xml><?xml version="1.0" encoding="utf-8"?>
<ds:datastoreItem xmlns:ds="http://schemas.openxmlformats.org/officeDocument/2006/customXml" ds:itemID="{86FDD961-624E-43E9-9029-DA1BFC2A04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242a98-fd17-455f-8b92-569554dc5489"/>
    <ds:schemaRef ds:uri="fabed9dd-f496-44eb-9d7e-8bf44dfd4a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A900F8-2A55-4389-A1D9-057884791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829</Words>
  <Characters>5225</Characters>
  <Application>Microsoft Office Word</Application>
  <DocSecurity>0</DocSecurity>
  <Lines>43</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Nishioka, Sayuli</dc:creator>
  <cp:keywords/>
  <dc:description/>
  <cp:lastModifiedBy>Gress, Mariya</cp:lastModifiedBy>
  <cp:revision>3</cp:revision>
  <dcterms:created xsi:type="dcterms:W3CDTF">2025-11-05T09:42:00Z</dcterms:created>
  <dcterms:modified xsi:type="dcterms:W3CDTF">2025-11-05T09:46:00Z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0x01010095E46AA57A40A14FA853525935DE54F7</vt:lpwstr>
  </property>
</Properties>
</file>